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w:t>
      </w:r>
      <w:r>
        <w:rPr>
          <w:rFonts w:hint="eastAsia" w:ascii="楷体" w:hAnsi="楷体" w:eastAsia="楷体" w:cs="楷体"/>
          <w:b/>
          <w:bCs/>
          <w:color w:val="000000"/>
          <w:sz w:val="32"/>
          <w:lang w:eastAsia="zh-CN"/>
        </w:rPr>
        <w:t>苏银理财恒源1年定开38期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w:t>
      </w:r>
      <w:r>
        <w:rPr>
          <w:rFonts w:hint="eastAsia" w:ascii="楷体" w:hAnsi="楷体" w:eastAsia="楷体"/>
          <w:sz w:val="28"/>
          <w:szCs w:val="28"/>
          <w:lang w:eastAsia="zh-CN"/>
        </w:rPr>
        <w:t>苏银理财恒源1年定开38期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4</w:t>
      </w:r>
      <w:r>
        <w:rPr>
          <w:rFonts w:hint="eastAsia" w:ascii="楷体" w:hAnsi="楷体" w:eastAsia="楷体"/>
          <w:sz w:val="28"/>
          <w:szCs w:val="28"/>
          <w:lang w:eastAsia="zh-CN"/>
        </w:rPr>
        <w:t>日至202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12</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7"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苏银理财恒源1年定开38期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苏银理财恒源1年定开38期</w:t>
                  </w:r>
                  <w:r>
                    <w:rPr>
                      <w:rFonts w:hint="eastAsia" w:ascii="楷体" w:hAnsi="楷体" w:eastAsia="楷体" w:cs="宋体"/>
                      <w:spacing w:val="-2"/>
                      <w:sz w:val="18"/>
                      <w:szCs w:val="18"/>
                      <w:highlight w:val="none"/>
                      <w:lang w:val="en-US" w:eastAsia="zh-CN"/>
                    </w:rPr>
                    <w:t>M</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苏银理财恒源1年定开38期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lang w:eastAsia="zh-CN"/>
                    </w:rPr>
                    <w:t>苏银理财恒源1年定开38期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苏银理财恒源1年定开38期</w:t>
                  </w:r>
                  <w:r>
                    <w:rPr>
                      <w:rFonts w:hint="eastAsia" w:ascii="楷体" w:hAnsi="楷体" w:eastAsia="楷体" w:cs="宋体"/>
                      <w:spacing w:val="-2"/>
                      <w:sz w:val="18"/>
                      <w:szCs w:val="18"/>
                      <w:highlight w:val="none"/>
                      <w:lang w:val="en-US" w:eastAsia="zh-CN"/>
                    </w:rPr>
                    <w:t>U</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苏银理财恒源1年定开38期</w:t>
                  </w:r>
                  <w:r>
                    <w:rPr>
                      <w:rFonts w:hint="eastAsia" w:ascii="楷体" w:hAnsi="楷体" w:eastAsia="楷体" w:cs="宋体"/>
                      <w:spacing w:val="-2"/>
                      <w:sz w:val="18"/>
                      <w:szCs w:val="18"/>
                      <w:highlight w:val="none"/>
                      <w:lang w:val="en-US" w:eastAsia="zh-CN"/>
                    </w:rPr>
                    <w:t>Z</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苏银理财恒源1年定开38期ZC鑫福优享（自动赎回）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ZK份额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苏银理财恒源1年定开38期ZK鑫福尊享（自动赎回）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J13316</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个人和机构</w:t>
            </w: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Times New Roman"/>
                <w:b/>
                <w:bCs/>
                <w:sz w:val="21"/>
                <w:szCs w:val="21"/>
                <w:highlight w:val="yellow"/>
                <w:vertAlign w:val="baseline"/>
                <w:lang w:eastAsia="zh-CN"/>
              </w:rPr>
            </w:pPr>
            <w:r>
              <w:rPr>
                <w:rFonts w:hint="eastAsia" w:ascii="楷体" w:hAnsi="楷体" w:eastAsia="楷体" w:cs="楷体"/>
                <w:i w:val="0"/>
                <w:iCs w:val="0"/>
                <w:color w:val="000000"/>
                <w:kern w:val="0"/>
                <w:sz w:val="21"/>
                <w:szCs w:val="21"/>
                <w:highlight w:val="none"/>
                <w:u w:val="none"/>
                <w:lang w:val="en-US" w:eastAsia="zh-CN" w:bidi="ar"/>
              </w:rPr>
              <w:t>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none"/>
                <w:vertAlign w:val="baseline"/>
                <w:lang w:val="en-US" w:eastAsia="zh-CN"/>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pPr w:leftFromText="180" w:rightFromText="180" w:vertAnchor="text" w:horzAnchor="page" w:tblpX="162" w:tblpY="2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411"/>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ZK份额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个人投资者：500,000元</w:t>
                  </w:r>
                </w:p>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机构投资者：30,000,000元</w:t>
                  </w:r>
                </w:p>
              </w:tc>
              <w:tc>
                <w:tcPr>
                  <w:tcW w:w="2125"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10,000元的整数倍</w:t>
                  </w:r>
                </w:p>
              </w:tc>
            </w:tr>
          </w:tbl>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2026年2月13日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本产品按投资周期开放申购与赎回，最新投资周期（2026年2月13日-2027年3月8日）开放申购与赎回时间为：</w:t>
            </w:r>
            <w:r>
              <w:rPr>
                <w:rFonts w:hint="eastAsia" w:ascii="楷体" w:hAnsi="楷体" w:eastAsia="楷体" w:cs="Times New Roman"/>
                <w:b/>
                <w:bCs/>
                <w:kern w:val="0"/>
                <w:sz w:val="21"/>
                <w:szCs w:val="21"/>
                <w:lang w:val="en-US" w:eastAsia="zh-CN" w:bidi="ar-SA"/>
              </w:rPr>
              <w:t>2026年2月4日至2026年2月12日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(其中ZC/ZK份额由系统主动发起赎回申请，投资者无须发起赎回申请。)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highlight w:val="none"/>
          <w:lang w:val="en-US" w:eastAsia="zh-CN" w:bidi="ar-SA"/>
        </w:rPr>
      </w:pPr>
      <w:r>
        <w:rPr>
          <w:rFonts w:hint="eastAsia" w:ascii="楷体" w:hAnsi="楷体" w:eastAsia="楷体" w:cs="Times New Roman"/>
          <w:kern w:val="0"/>
          <w:sz w:val="28"/>
          <w:szCs w:val="28"/>
          <w:highlight w:val="none"/>
          <w:lang w:val="en-US" w:eastAsia="zh-CN" w:bidi="ar-SA"/>
        </w:rPr>
        <w:t>调整ZA份额名称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份额名称</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苏银理财恒源1年定开38期ZA（自动赎回）</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苏银理财恒源1年定开38期ZA鑫福款（自动赎回）</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eastAsia="楷体" w:cs="楷体"/>
          <w:kern w:val="0"/>
          <w:szCs w:val="21"/>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B份额2.73%-3.33%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D份额2.85%-3.45%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ZF份额2.70%-3.30%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ZN份额2.80%-3.40%</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M份额2.55%-3.15%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ZK份额2.60%-3.20%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A份额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B份额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D份额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G份额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J份额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ZA份额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ZF份额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sz w:val="20"/>
                <w:szCs w:val="20"/>
              </w:rPr>
              <w:t>ZN份额 0.00%/年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M份额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ZK份额 0.50%/年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6"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A份额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B份额 0.27%/年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D份额 0.20%/年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F份额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G份额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J份额 0.20%/年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ZA份额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ZF份额 0.30%/年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rPr>
              <w:t>ZN份额 0.30%/年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M份额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ZK份额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13</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4</w:t>
      </w:r>
      <w:r>
        <w:rPr>
          <w:rFonts w:hint="eastAsia" w:ascii="楷体" w:hAnsi="楷体" w:eastAsia="楷体"/>
          <w:sz w:val="28"/>
          <w:szCs w:val="28"/>
          <w:lang w:eastAsia="zh-CN"/>
        </w:rPr>
        <w:t>日至20</w:t>
      </w:r>
      <w:r>
        <w:rPr>
          <w:rFonts w:hint="eastAsia" w:ascii="楷体" w:hAnsi="楷体" w:eastAsia="楷体"/>
          <w:sz w:val="28"/>
          <w:szCs w:val="28"/>
          <w:lang w:val="en-US" w:eastAsia="zh-CN"/>
        </w:rPr>
        <w:t>26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12</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6</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30</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1D6D"/>
    <w:multiLevelType w:val="singleLevel"/>
    <w:tmpl w:val="23B81D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77097"/>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1B5618"/>
    <w:rsid w:val="01737047"/>
    <w:rsid w:val="018A5D13"/>
    <w:rsid w:val="0194431F"/>
    <w:rsid w:val="01E8002F"/>
    <w:rsid w:val="01F10A4B"/>
    <w:rsid w:val="025575E2"/>
    <w:rsid w:val="027A3F9F"/>
    <w:rsid w:val="02973E33"/>
    <w:rsid w:val="02A62BE9"/>
    <w:rsid w:val="02CD6006"/>
    <w:rsid w:val="02D16326"/>
    <w:rsid w:val="02E14AB1"/>
    <w:rsid w:val="031445BE"/>
    <w:rsid w:val="033A123E"/>
    <w:rsid w:val="034335FA"/>
    <w:rsid w:val="034A2E67"/>
    <w:rsid w:val="036A51AD"/>
    <w:rsid w:val="036E7BB6"/>
    <w:rsid w:val="03820F4E"/>
    <w:rsid w:val="0383364B"/>
    <w:rsid w:val="03D837A8"/>
    <w:rsid w:val="046163BD"/>
    <w:rsid w:val="0479381B"/>
    <w:rsid w:val="04C63B63"/>
    <w:rsid w:val="04F67774"/>
    <w:rsid w:val="052C6D8B"/>
    <w:rsid w:val="056F4477"/>
    <w:rsid w:val="05C24554"/>
    <w:rsid w:val="05D170A8"/>
    <w:rsid w:val="05E56CDC"/>
    <w:rsid w:val="05FB2EA2"/>
    <w:rsid w:val="061C6B32"/>
    <w:rsid w:val="0671319E"/>
    <w:rsid w:val="06BC0C53"/>
    <w:rsid w:val="06C61B59"/>
    <w:rsid w:val="06E53B5E"/>
    <w:rsid w:val="070B051A"/>
    <w:rsid w:val="07367D5E"/>
    <w:rsid w:val="07716FC5"/>
    <w:rsid w:val="07731EDA"/>
    <w:rsid w:val="07EE0FA0"/>
    <w:rsid w:val="084131A0"/>
    <w:rsid w:val="08762FEF"/>
    <w:rsid w:val="08BE33E4"/>
    <w:rsid w:val="090A12E5"/>
    <w:rsid w:val="093B5BA9"/>
    <w:rsid w:val="095F3409"/>
    <w:rsid w:val="097F69FA"/>
    <w:rsid w:val="099D0555"/>
    <w:rsid w:val="09D232AC"/>
    <w:rsid w:val="09FF588F"/>
    <w:rsid w:val="0A392F7B"/>
    <w:rsid w:val="0A5B3405"/>
    <w:rsid w:val="0A77384F"/>
    <w:rsid w:val="0ACC4A81"/>
    <w:rsid w:val="0B2C47E2"/>
    <w:rsid w:val="0B8445B4"/>
    <w:rsid w:val="0B9C374F"/>
    <w:rsid w:val="0BA11BEE"/>
    <w:rsid w:val="0BEC30C9"/>
    <w:rsid w:val="0C48088E"/>
    <w:rsid w:val="0C894AB8"/>
    <w:rsid w:val="0C9123D3"/>
    <w:rsid w:val="0CBF40E5"/>
    <w:rsid w:val="0D0D51A1"/>
    <w:rsid w:val="0D200BB6"/>
    <w:rsid w:val="0D5F63C0"/>
    <w:rsid w:val="0D7972CE"/>
    <w:rsid w:val="0DAF4280"/>
    <w:rsid w:val="0E422521"/>
    <w:rsid w:val="0E5674C0"/>
    <w:rsid w:val="0E8E3B6F"/>
    <w:rsid w:val="0EC72E07"/>
    <w:rsid w:val="0F191555"/>
    <w:rsid w:val="0F210D87"/>
    <w:rsid w:val="0F663BA5"/>
    <w:rsid w:val="0F7067E8"/>
    <w:rsid w:val="0F923AB0"/>
    <w:rsid w:val="0FAF10CE"/>
    <w:rsid w:val="0FCF7D7E"/>
    <w:rsid w:val="104E53CE"/>
    <w:rsid w:val="106A73DE"/>
    <w:rsid w:val="10831037"/>
    <w:rsid w:val="109F1442"/>
    <w:rsid w:val="10D765E7"/>
    <w:rsid w:val="10E55ACF"/>
    <w:rsid w:val="10EA422A"/>
    <w:rsid w:val="10F37717"/>
    <w:rsid w:val="11193C61"/>
    <w:rsid w:val="112B3525"/>
    <w:rsid w:val="11A30BFE"/>
    <w:rsid w:val="11DE70DE"/>
    <w:rsid w:val="11F8532A"/>
    <w:rsid w:val="12141D1F"/>
    <w:rsid w:val="12305220"/>
    <w:rsid w:val="128C6FF6"/>
    <w:rsid w:val="129928EB"/>
    <w:rsid w:val="12FD043A"/>
    <w:rsid w:val="130F5125"/>
    <w:rsid w:val="13255877"/>
    <w:rsid w:val="133A5971"/>
    <w:rsid w:val="13850E78"/>
    <w:rsid w:val="138E2B8D"/>
    <w:rsid w:val="138F40F7"/>
    <w:rsid w:val="146F3DF7"/>
    <w:rsid w:val="14A93475"/>
    <w:rsid w:val="14AD1E7B"/>
    <w:rsid w:val="14C2659D"/>
    <w:rsid w:val="14D7308C"/>
    <w:rsid w:val="14E40183"/>
    <w:rsid w:val="151843BC"/>
    <w:rsid w:val="15466935"/>
    <w:rsid w:val="157531A0"/>
    <w:rsid w:val="15B64F8F"/>
    <w:rsid w:val="15CF287D"/>
    <w:rsid w:val="15E762CA"/>
    <w:rsid w:val="16287370"/>
    <w:rsid w:val="162F011F"/>
    <w:rsid w:val="16BB26F8"/>
    <w:rsid w:val="16CD5009"/>
    <w:rsid w:val="17121734"/>
    <w:rsid w:val="176A14D9"/>
    <w:rsid w:val="17C078CB"/>
    <w:rsid w:val="17D72BC9"/>
    <w:rsid w:val="17E23DD4"/>
    <w:rsid w:val="181E174A"/>
    <w:rsid w:val="18213C6D"/>
    <w:rsid w:val="183A3312"/>
    <w:rsid w:val="18F87A98"/>
    <w:rsid w:val="19441605"/>
    <w:rsid w:val="19641023"/>
    <w:rsid w:val="196B405E"/>
    <w:rsid w:val="199B6CC4"/>
    <w:rsid w:val="19A07F59"/>
    <w:rsid w:val="19B7732F"/>
    <w:rsid w:val="1A516D0F"/>
    <w:rsid w:val="1A556062"/>
    <w:rsid w:val="1AAA0FBB"/>
    <w:rsid w:val="1AF844CE"/>
    <w:rsid w:val="1B3201DD"/>
    <w:rsid w:val="1B4C64BD"/>
    <w:rsid w:val="1B4D36B1"/>
    <w:rsid w:val="1BA91EFF"/>
    <w:rsid w:val="1BBB41AB"/>
    <w:rsid w:val="1BEF680F"/>
    <w:rsid w:val="1C027767"/>
    <w:rsid w:val="1C294840"/>
    <w:rsid w:val="1C8E3149"/>
    <w:rsid w:val="1C9A7219"/>
    <w:rsid w:val="1CFD3FD3"/>
    <w:rsid w:val="1D276828"/>
    <w:rsid w:val="1D5346F0"/>
    <w:rsid w:val="1D645BD4"/>
    <w:rsid w:val="1D6D7635"/>
    <w:rsid w:val="1D7579FA"/>
    <w:rsid w:val="1D924373"/>
    <w:rsid w:val="1D985996"/>
    <w:rsid w:val="1E0972D4"/>
    <w:rsid w:val="1E1006E6"/>
    <w:rsid w:val="1E4F01B9"/>
    <w:rsid w:val="1E760193"/>
    <w:rsid w:val="1EA4443B"/>
    <w:rsid w:val="1EA87234"/>
    <w:rsid w:val="1EC206FB"/>
    <w:rsid w:val="1EDF5366"/>
    <w:rsid w:val="1EE040CA"/>
    <w:rsid w:val="1EEB067E"/>
    <w:rsid w:val="1EEB0CD6"/>
    <w:rsid w:val="1EF17B30"/>
    <w:rsid w:val="1F3E4737"/>
    <w:rsid w:val="1F6E052A"/>
    <w:rsid w:val="1F76388C"/>
    <w:rsid w:val="1FB6782F"/>
    <w:rsid w:val="20371AE7"/>
    <w:rsid w:val="206A5E01"/>
    <w:rsid w:val="209B1322"/>
    <w:rsid w:val="20A57817"/>
    <w:rsid w:val="20C13F30"/>
    <w:rsid w:val="20CF52B8"/>
    <w:rsid w:val="210D6A26"/>
    <w:rsid w:val="212C3222"/>
    <w:rsid w:val="212C6D72"/>
    <w:rsid w:val="213644A8"/>
    <w:rsid w:val="21510889"/>
    <w:rsid w:val="21D32B8D"/>
    <w:rsid w:val="21DA2518"/>
    <w:rsid w:val="21E17924"/>
    <w:rsid w:val="222A359C"/>
    <w:rsid w:val="223F443B"/>
    <w:rsid w:val="22546781"/>
    <w:rsid w:val="226C5780"/>
    <w:rsid w:val="229E7CD7"/>
    <w:rsid w:val="23151294"/>
    <w:rsid w:val="233F63EE"/>
    <w:rsid w:val="237F15A3"/>
    <w:rsid w:val="239502C7"/>
    <w:rsid w:val="23A55F71"/>
    <w:rsid w:val="23AB2404"/>
    <w:rsid w:val="23AC7493"/>
    <w:rsid w:val="23BD6F5B"/>
    <w:rsid w:val="23C66840"/>
    <w:rsid w:val="23C81D43"/>
    <w:rsid w:val="24AB41F2"/>
    <w:rsid w:val="24BB546F"/>
    <w:rsid w:val="250C3648"/>
    <w:rsid w:val="25163BE4"/>
    <w:rsid w:val="25213037"/>
    <w:rsid w:val="257A7A34"/>
    <w:rsid w:val="25AB575C"/>
    <w:rsid w:val="26421257"/>
    <w:rsid w:val="265A5C24"/>
    <w:rsid w:val="26875F75"/>
    <w:rsid w:val="26993D60"/>
    <w:rsid w:val="277907C8"/>
    <w:rsid w:val="279B7C74"/>
    <w:rsid w:val="27A93268"/>
    <w:rsid w:val="27CD08D9"/>
    <w:rsid w:val="27D51569"/>
    <w:rsid w:val="27F87FC2"/>
    <w:rsid w:val="283B2206"/>
    <w:rsid w:val="287A5795"/>
    <w:rsid w:val="28BB2087"/>
    <w:rsid w:val="28E61DCA"/>
    <w:rsid w:val="28FD058B"/>
    <w:rsid w:val="29254958"/>
    <w:rsid w:val="29501300"/>
    <w:rsid w:val="29A64AAB"/>
    <w:rsid w:val="2A445C52"/>
    <w:rsid w:val="2A63017B"/>
    <w:rsid w:val="2ACD562A"/>
    <w:rsid w:val="2ADD610D"/>
    <w:rsid w:val="2AF31486"/>
    <w:rsid w:val="2AF469CF"/>
    <w:rsid w:val="2AFD7AC8"/>
    <w:rsid w:val="2B432D00"/>
    <w:rsid w:val="2B660A1C"/>
    <w:rsid w:val="2B7F6AA5"/>
    <w:rsid w:val="2BBD43D2"/>
    <w:rsid w:val="2CA55C6B"/>
    <w:rsid w:val="2CA568CE"/>
    <w:rsid w:val="2CFB185B"/>
    <w:rsid w:val="2D064D96"/>
    <w:rsid w:val="2D381B6B"/>
    <w:rsid w:val="2D3A09B3"/>
    <w:rsid w:val="2D7C7356"/>
    <w:rsid w:val="2DC559A5"/>
    <w:rsid w:val="2DE1082F"/>
    <w:rsid w:val="2E0C17AB"/>
    <w:rsid w:val="2E1A1CB3"/>
    <w:rsid w:val="2E3C4214"/>
    <w:rsid w:val="2E665FDB"/>
    <w:rsid w:val="2E852ACB"/>
    <w:rsid w:val="2EB62279"/>
    <w:rsid w:val="2ED262D5"/>
    <w:rsid w:val="2EF06564"/>
    <w:rsid w:val="2EFD22A6"/>
    <w:rsid w:val="2F304982"/>
    <w:rsid w:val="2F724538"/>
    <w:rsid w:val="301B1F5D"/>
    <w:rsid w:val="301E1988"/>
    <w:rsid w:val="3058528B"/>
    <w:rsid w:val="30CC105E"/>
    <w:rsid w:val="30EE71C4"/>
    <w:rsid w:val="31231C2B"/>
    <w:rsid w:val="3152277A"/>
    <w:rsid w:val="31611D29"/>
    <w:rsid w:val="31793A80"/>
    <w:rsid w:val="3262171C"/>
    <w:rsid w:val="3275602C"/>
    <w:rsid w:val="32F86A57"/>
    <w:rsid w:val="33483B2E"/>
    <w:rsid w:val="336B41C2"/>
    <w:rsid w:val="33704CF3"/>
    <w:rsid w:val="33D75F09"/>
    <w:rsid w:val="33F03F01"/>
    <w:rsid w:val="34153282"/>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69A0B97"/>
    <w:rsid w:val="36F21769"/>
    <w:rsid w:val="371951A3"/>
    <w:rsid w:val="37C06287"/>
    <w:rsid w:val="37E47740"/>
    <w:rsid w:val="37EC1B56"/>
    <w:rsid w:val="38897ECE"/>
    <w:rsid w:val="389265DF"/>
    <w:rsid w:val="38C954F8"/>
    <w:rsid w:val="39292AFC"/>
    <w:rsid w:val="3940059B"/>
    <w:rsid w:val="395D49FE"/>
    <w:rsid w:val="399827D5"/>
    <w:rsid w:val="39CD60E1"/>
    <w:rsid w:val="3A025B8E"/>
    <w:rsid w:val="3A2154E4"/>
    <w:rsid w:val="3A401073"/>
    <w:rsid w:val="3A5E23D3"/>
    <w:rsid w:val="3A741987"/>
    <w:rsid w:val="3A8B3BFB"/>
    <w:rsid w:val="3ABF7DB8"/>
    <w:rsid w:val="3ADE136E"/>
    <w:rsid w:val="3AEC76B8"/>
    <w:rsid w:val="3B386425"/>
    <w:rsid w:val="3B9C63CC"/>
    <w:rsid w:val="3BAA159A"/>
    <w:rsid w:val="3BE401DA"/>
    <w:rsid w:val="3C09240E"/>
    <w:rsid w:val="3C2A61A8"/>
    <w:rsid w:val="3C8961DF"/>
    <w:rsid w:val="3CA02E52"/>
    <w:rsid w:val="3CC2593E"/>
    <w:rsid w:val="3D032D44"/>
    <w:rsid w:val="3D672C3A"/>
    <w:rsid w:val="3DB03A43"/>
    <w:rsid w:val="3E471DFD"/>
    <w:rsid w:val="3E6A1816"/>
    <w:rsid w:val="3EA70758"/>
    <w:rsid w:val="3EDE66B4"/>
    <w:rsid w:val="3F0C5EFE"/>
    <w:rsid w:val="3F3C6A4D"/>
    <w:rsid w:val="3F434A02"/>
    <w:rsid w:val="3FAF0F8B"/>
    <w:rsid w:val="40356C65"/>
    <w:rsid w:val="408753F4"/>
    <w:rsid w:val="408D10B1"/>
    <w:rsid w:val="40947325"/>
    <w:rsid w:val="40AB3370"/>
    <w:rsid w:val="40F405CC"/>
    <w:rsid w:val="40FA1029"/>
    <w:rsid w:val="41370768"/>
    <w:rsid w:val="415F76F8"/>
    <w:rsid w:val="4169166D"/>
    <w:rsid w:val="416F6683"/>
    <w:rsid w:val="41A92C11"/>
    <w:rsid w:val="41D739A5"/>
    <w:rsid w:val="41DA6731"/>
    <w:rsid w:val="41DD004E"/>
    <w:rsid w:val="41FF53B4"/>
    <w:rsid w:val="42044479"/>
    <w:rsid w:val="425F0F38"/>
    <w:rsid w:val="42673E2F"/>
    <w:rsid w:val="42AB75CB"/>
    <w:rsid w:val="42CE5FBB"/>
    <w:rsid w:val="42E90E20"/>
    <w:rsid w:val="43064505"/>
    <w:rsid w:val="43A0700B"/>
    <w:rsid w:val="441C07CA"/>
    <w:rsid w:val="44991AE0"/>
    <w:rsid w:val="44BD6023"/>
    <w:rsid w:val="44F778DB"/>
    <w:rsid w:val="45047CA4"/>
    <w:rsid w:val="451609AC"/>
    <w:rsid w:val="452015FE"/>
    <w:rsid w:val="45715A81"/>
    <w:rsid w:val="4594103F"/>
    <w:rsid w:val="45B4435C"/>
    <w:rsid w:val="45C9758C"/>
    <w:rsid w:val="45E83876"/>
    <w:rsid w:val="45EB52C6"/>
    <w:rsid w:val="461E5F17"/>
    <w:rsid w:val="46625BDF"/>
    <w:rsid w:val="46B94F03"/>
    <w:rsid w:val="471901B2"/>
    <w:rsid w:val="47585D41"/>
    <w:rsid w:val="47631940"/>
    <w:rsid w:val="47762CA8"/>
    <w:rsid w:val="477A5D4D"/>
    <w:rsid w:val="47A310D6"/>
    <w:rsid w:val="47AC5CCC"/>
    <w:rsid w:val="47E37682"/>
    <w:rsid w:val="47E7403E"/>
    <w:rsid w:val="47F27979"/>
    <w:rsid w:val="480774F3"/>
    <w:rsid w:val="4845132D"/>
    <w:rsid w:val="48BB4465"/>
    <w:rsid w:val="49030FD7"/>
    <w:rsid w:val="49216DBC"/>
    <w:rsid w:val="49387F21"/>
    <w:rsid w:val="495124E6"/>
    <w:rsid w:val="49605AEE"/>
    <w:rsid w:val="49AA0AC7"/>
    <w:rsid w:val="49B358F8"/>
    <w:rsid w:val="49DF4E30"/>
    <w:rsid w:val="49EC1694"/>
    <w:rsid w:val="4A471741"/>
    <w:rsid w:val="4A5A4710"/>
    <w:rsid w:val="4A6878E6"/>
    <w:rsid w:val="4AFD7FBC"/>
    <w:rsid w:val="4B035078"/>
    <w:rsid w:val="4B8B4FBF"/>
    <w:rsid w:val="4BD6191E"/>
    <w:rsid w:val="4BE26612"/>
    <w:rsid w:val="4BFB6B1D"/>
    <w:rsid w:val="4C112E59"/>
    <w:rsid w:val="4C2B2CAD"/>
    <w:rsid w:val="4C4F679C"/>
    <w:rsid w:val="4C896196"/>
    <w:rsid w:val="4C9C3A47"/>
    <w:rsid w:val="4CE51F37"/>
    <w:rsid w:val="4CF93156"/>
    <w:rsid w:val="4D2F7D3F"/>
    <w:rsid w:val="4D763C76"/>
    <w:rsid w:val="4D7654E0"/>
    <w:rsid w:val="4D8F6F14"/>
    <w:rsid w:val="4DBA4216"/>
    <w:rsid w:val="4DBC7557"/>
    <w:rsid w:val="4DCB35ED"/>
    <w:rsid w:val="4DCD55A0"/>
    <w:rsid w:val="4DD6720A"/>
    <w:rsid w:val="4DE31008"/>
    <w:rsid w:val="4DF2602F"/>
    <w:rsid w:val="4E1B6A0B"/>
    <w:rsid w:val="4E221465"/>
    <w:rsid w:val="4E2F2DC0"/>
    <w:rsid w:val="4E3F35B1"/>
    <w:rsid w:val="4E5A5196"/>
    <w:rsid w:val="4EAB28CF"/>
    <w:rsid w:val="4ED423AE"/>
    <w:rsid w:val="4EE957A9"/>
    <w:rsid w:val="4F40507F"/>
    <w:rsid w:val="4F610152"/>
    <w:rsid w:val="4F893668"/>
    <w:rsid w:val="4F9B372A"/>
    <w:rsid w:val="50327120"/>
    <w:rsid w:val="505428F3"/>
    <w:rsid w:val="505C0BA4"/>
    <w:rsid w:val="506C6001"/>
    <w:rsid w:val="507207FA"/>
    <w:rsid w:val="507A6FBA"/>
    <w:rsid w:val="508C5689"/>
    <w:rsid w:val="508D5948"/>
    <w:rsid w:val="509846A9"/>
    <w:rsid w:val="50AA5D32"/>
    <w:rsid w:val="50BB7729"/>
    <w:rsid w:val="50D4472B"/>
    <w:rsid w:val="51360F4D"/>
    <w:rsid w:val="51563A00"/>
    <w:rsid w:val="51992D39"/>
    <w:rsid w:val="51BE7E2F"/>
    <w:rsid w:val="52294F82"/>
    <w:rsid w:val="52500057"/>
    <w:rsid w:val="526268DD"/>
    <w:rsid w:val="5274712B"/>
    <w:rsid w:val="52A56695"/>
    <w:rsid w:val="5305453E"/>
    <w:rsid w:val="53F05904"/>
    <w:rsid w:val="542C5727"/>
    <w:rsid w:val="549473C0"/>
    <w:rsid w:val="54F40A45"/>
    <w:rsid w:val="54FD289A"/>
    <w:rsid w:val="55BD4BB9"/>
    <w:rsid w:val="55F82031"/>
    <w:rsid w:val="55F920FF"/>
    <w:rsid w:val="563952EF"/>
    <w:rsid w:val="56464255"/>
    <w:rsid w:val="566775D0"/>
    <w:rsid w:val="56D42649"/>
    <w:rsid w:val="56DB1E11"/>
    <w:rsid w:val="57416F33"/>
    <w:rsid w:val="57432F4E"/>
    <w:rsid w:val="574B01B0"/>
    <w:rsid w:val="57B06DB9"/>
    <w:rsid w:val="57BE004A"/>
    <w:rsid w:val="57F57CDB"/>
    <w:rsid w:val="582E7F83"/>
    <w:rsid w:val="58741402"/>
    <w:rsid w:val="593D73DB"/>
    <w:rsid w:val="59EA15B7"/>
    <w:rsid w:val="5A1E418A"/>
    <w:rsid w:val="5A532049"/>
    <w:rsid w:val="5A53598B"/>
    <w:rsid w:val="5A975B84"/>
    <w:rsid w:val="5B06397D"/>
    <w:rsid w:val="5BFD5AB5"/>
    <w:rsid w:val="5C444B13"/>
    <w:rsid w:val="5C5C782A"/>
    <w:rsid w:val="5C793571"/>
    <w:rsid w:val="5C8445D7"/>
    <w:rsid w:val="5CCA1527"/>
    <w:rsid w:val="5D02154D"/>
    <w:rsid w:val="5D95049A"/>
    <w:rsid w:val="5DC62445"/>
    <w:rsid w:val="5DCA6837"/>
    <w:rsid w:val="5E1F1DFA"/>
    <w:rsid w:val="5E6B43CE"/>
    <w:rsid w:val="5E923EC9"/>
    <w:rsid w:val="5EF046D1"/>
    <w:rsid w:val="5F963482"/>
    <w:rsid w:val="5FA6139F"/>
    <w:rsid w:val="601B0AEB"/>
    <w:rsid w:val="60367908"/>
    <w:rsid w:val="604D0E43"/>
    <w:rsid w:val="60837ED3"/>
    <w:rsid w:val="60D713FC"/>
    <w:rsid w:val="611976DA"/>
    <w:rsid w:val="613F521A"/>
    <w:rsid w:val="617A47CC"/>
    <w:rsid w:val="61A65EC3"/>
    <w:rsid w:val="61C21FBF"/>
    <w:rsid w:val="62025FCA"/>
    <w:rsid w:val="62192F56"/>
    <w:rsid w:val="62262AD4"/>
    <w:rsid w:val="62730DFD"/>
    <w:rsid w:val="6281495E"/>
    <w:rsid w:val="62C9047A"/>
    <w:rsid w:val="630B20F4"/>
    <w:rsid w:val="63193296"/>
    <w:rsid w:val="63287BC7"/>
    <w:rsid w:val="632F196D"/>
    <w:rsid w:val="63490AF3"/>
    <w:rsid w:val="634F7A07"/>
    <w:rsid w:val="63C26AF4"/>
    <w:rsid w:val="63CF5FFF"/>
    <w:rsid w:val="64215642"/>
    <w:rsid w:val="6441191F"/>
    <w:rsid w:val="64457A91"/>
    <w:rsid w:val="64490695"/>
    <w:rsid w:val="645B4479"/>
    <w:rsid w:val="64767A0B"/>
    <w:rsid w:val="64CB796A"/>
    <w:rsid w:val="64D946D3"/>
    <w:rsid w:val="6536531F"/>
    <w:rsid w:val="654E27FD"/>
    <w:rsid w:val="657A5127"/>
    <w:rsid w:val="659A2E3E"/>
    <w:rsid w:val="659D094E"/>
    <w:rsid w:val="65EF6D63"/>
    <w:rsid w:val="66047A56"/>
    <w:rsid w:val="664B50DC"/>
    <w:rsid w:val="66517B3F"/>
    <w:rsid w:val="66B87BC6"/>
    <w:rsid w:val="66E32439"/>
    <w:rsid w:val="66E947A6"/>
    <w:rsid w:val="67236BC5"/>
    <w:rsid w:val="672732D6"/>
    <w:rsid w:val="673523C1"/>
    <w:rsid w:val="673B426B"/>
    <w:rsid w:val="673F2C72"/>
    <w:rsid w:val="6741510F"/>
    <w:rsid w:val="67715F39"/>
    <w:rsid w:val="678F52EE"/>
    <w:rsid w:val="68095BBE"/>
    <w:rsid w:val="681E22E0"/>
    <w:rsid w:val="688904D0"/>
    <w:rsid w:val="68E8216C"/>
    <w:rsid w:val="68EB201F"/>
    <w:rsid w:val="691D7C84"/>
    <w:rsid w:val="694226BD"/>
    <w:rsid w:val="69643B4A"/>
    <w:rsid w:val="698066A4"/>
    <w:rsid w:val="69836F94"/>
    <w:rsid w:val="69A578E5"/>
    <w:rsid w:val="69C04ABB"/>
    <w:rsid w:val="69C949BD"/>
    <w:rsid w:val="69F936A0"/>
    <w:rsid w:val="69FB3CEA"/>
    <w:rsid w:val="6A5E4BBE"/>
    <w:rsid w:val="6AAC1985"/>
    <w:rsid w:val="6AC76ABF"/>
    <w:rsid w:val="6ACA583A"/>
    <w:rsid w:val="6ACE4D37"/>
    <w:rsid w:val="6AE0698C"/>
    <w:rsid w:val="6B2D2DD1"/>
    <w:rsid w:val="6B4A2C69"/>
    <w:rsid w:val="6B715BA4"/>
    <w:rsid w:val="6B853A0B"/>
    <w:rsid w:val="6BCF16F1"/>
    <w:rsid w:val="6C907499"/>
    <w:rsid w:val="6C9932B3"/>
    <w:rsid w:val="6CB82799"/>
    <w:rsid w:val="6CC62EC5"/>
    <w:rsid w:val="6D3235AF"/>
    <w:rsid w:val="6D6605E1"/>
    <w:rsid w:val="6DB046C3"/>
    <w:rsid w:val="6DCA25A9"/>
    <w:rsid w:val="6DFB0A7C"/>
    <w:rsid w:val="6DFD7802"/>
    <w:rsid w:val="6E374AEF"/>
    <w:rsid w:val="6F065112"/>
    <w:rsid w:val="6F0E64D5"/>
    <w:rsid w:val="6F117386"/>
    <w:rsid w:val="6F2936EC"/>
    <w:rsid w:val="6F666DD4"/>
    <w:rsid w:val="6F763638"/>
    <w:rsid w:val="6F9D7484"/>
    <w:rsid w:val="6FEA7854"/>
    <w:rsid w:val="70352B2C"/>
    <w:rsid w:val="70844159"/>
    <w:rsid w:val="708C277D"/>
    <w:rsid w:val="70D03495"/>
    <w:rsid w:val="70D4483F"/>
    <w:rsid w:val="713118C3"/>
    <w:rsid w:val="713978EF"/>
    <w:rsid w:val="7145584D"/>
    <w:rsid w:val="715B13F7"/>
    <w:rsid w:val="715E6C8D"/>
    <w:rsid w:val="718E6F68"/>
    <w:rsid w:val="71E23B38"/>
    <w:rsid w:val="72185F3B"/>
    <w:rsid w:val="72222730"/>
    <w:rsid w:val="727707D3"/>
    <w:rsid w:val="729344B0"/>
    <w:rsid w:val="72C568B4"/>
    <w:rsid w:val="72DB6001"/>
    <w:rsid w:val="734C7AAA"/>
    <w:rsid w:val="73807E8E"/>
    <w:rsid w:val="7396760B"/>
    <w:rsid w:val="73B01C12"/>
    <w:rsid w:val="73B67AD5"/>
    <w:rsid w:val="73CD79E2"/>
    <w:rsid w:val="7408106C"/>
    <w:rsid w:val="740E30C6"/>
    <w:rsid w:val="741115F7"/>
    <w:rsid w:val="7417414C"/>
    <w:rsid w:val="743F7715"/>
    <w:rsid w:val="7444332F"/>
    <w:rsid w:val="74445220"/>
    <w:rsid w:val="74966354"/>
    <w:rsid w:val="74AB0875"/>
    <w:rsid w:val="74B757DE"/>
    <w:rsid w:val="74BA6964"/>
    <w:rsid w:val="74E710D7"/>
    <w:rsid w:val="759A3FB7"/>
    <w:rsid w:val="75BF293C"/>
    <w:rsid w:val="75C232CB"/>
    <w:rsid w:val="75D30060"/>
    <w:rsid w:val="75F9181C"/>
    <w:rsid w:val="760B591E"/>
    <w:rsid w:val="764B5DA3"/>
    <w:rsid w:val="766A4803"/>
    <w:rsid w:val="76B1397B"/>
    <w:rsid w:val="76BA0270"/>
    <w:rsid w:val="76BF6564"/>
    <w:rsid w:val="76D161DE"/>
    <w:rsid w:val="771F15FE"/>
    <w:rsid w:val="773E5898"/>
    <w:rsid w:val="77667C2A"/>
    <w:rsid w:val="776D520A"/>
    <w:rsid w:val="785173F2"/>
    <w:rsid w:val="790D447D"/>
    <w:rsid w:val="79325B0F"/>
    <w:rsid w:val="79341C63"/>
    <w:rsid w:val="79344E38"/>
    <w:rsid w:val="796462C2"/>
    <w:rsid w:val="79773D24"/>
    <w:rsid w:val="79822B8A"/>
    <w:rsid w:val="79897B01"/>
    <w:rsid w:val="7A144528"/>
    <w:rsid w:val="7A32639B"/>
    <w:rsid w:val="7A495510"/>
    <w:rsid w:val="7A7118F0"/>
    <w:rsid w:val="7A8F32F6"/>
    <w:rsid w:val="7AA97A9D"/>
    <w:rsid w:val="7ABD49D4"/>
    <w:rsid w:val="7AC06C49"/>
    <w:rsid w:val="7B524663"/>
    <w:rsid w:val="7B63246C"/>
    <w:rsid w:val="7B652FB5"/>
    <w:rsid w:val="7BAF350D"/>
    <w:rsid w:val="7BDA07A0"/>
    <w:rsid w:val="7C917E46"/>
    <w:rsid w:val="7CC14FCD"/>
    <w:rsid w:val="7D087766"/>
    <w:rsid w:val="7D767E03"/>
    <w:rsid w:val="7DA43BE7"/>
    <w:rsid w:val="7DF6307F"/>
    <w:rsid w:val="7E1C0297"/>
    <w:rsid w:val="7E92744C"/>
    <w:rsid w:val="7EA52354"/>
    <w:rsid w:val="7EA979A6"/>
    <w:rsid w:val="7F642DE6"/>
    <w:rsid w:val="7F8B714F"/>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98</TotalTime>
  <ScaleCrop>false</ScaleCrop>
  <LinksUpToDate>false</LinksUpToDate>
  <CharactersWithSpaces>3209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sylc</cp:lastModifiedBy>
  <cp:lastPrinted>2024-04-16T11:20:00Z</cp:lastPrinted>
  <dcterms:modified xsi:type="dcterms:W3CDTF">2026-01-30T08:40:47Z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692A52A7AFA843EB8EB5DB135A749284</vt:lpwstr>
  </property>
</Properties>
</file>