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ordWrap/>
        <w:topLinePunct w:val="0"/>
        <w:autoSpaceDE/>
        <w:autoSpaceDN/>
        <w:bidi w:val="0"/>
        <w:snapToGrid/>
        <w:jc w:val="center"/>
        <w:textAlignment w:val="auto"/>
        <w:rPr>
          <w:rFonts w:hint="eastAsia" w:ascii="楷体" w:hAnsi="楷体" w:eastAsia="楷体"/>
          <w:b/>
          <w:kern w:val="0"/>
          <w:sz w:val="36"/>
          <w:szCs w:val="36"/>
        </w:rPr>
      </w:pPr>
    </w:p>
    <w:p>
      <w:pPr>
        <w:keepNext w:val="0"/>
        <w:keepLines w:val="0"/>
        <w:pageBreakBefore w:val="0"/>
        <w:wordWrap/>
        <w:topLinePunct w:val="0"/>
        <w:autoSpaceDE/>
        <w:autoSpaceDN/>
        <w:bidi w:val="0"/>
        <w:snapToGrid/>
        <w:jc w:val="center"/>
        <w:textAlignment w:val="auto"/>
        <w:rPr>
          <w:rFonts w:hint="eastAsia" w:ascii="楷体" w:hAnsi="楷体" w:eastAsia="楷体"/>
          <w:b/>
          <w:kern w:val="0"/>
          <w:sz w:val="36"/>
          <w:szCs w:val="36"/>
        </w:rPr>
      </w:pPr>
      <w:r>
        <w:rPr>
          <w:rFonts w:hint="eastAsia" w:ascii="楷体" w:hAnsi="楷体" w:eastAsia="楷体"/>
          <w:b/>
          <w:kern w:val="0"/>
          <w:sz w:val="36"/>
          <w:szCs w:val="36"/>
        </w:rPr>
        <w:t>“苏银理财</w:t>
      </w:r>
      <w:r>
        <w:rPr>
          <w:rFonts w:hint="eastAsia" w:ascii="楷体" w:hAnsi="楷体" w:eastAsia="楷体"/>
          <w:b/>
          <w:kern w:val="0"/>
          <w:sz w:val="36"/>
          <w:szCs w:val="36"/>
          <w:lang w:eastAsia="zh-CN"/>
        </w:rPr>
        <w:t>恒源最短持有90天</w:t>
      </w:r>
      <w:r>
        <w:rPr>
          <w:rFonts w:hint="eastAsia" w:ascii="楷体" w:hAnsi="楷体" w:eastAsia="楷体"/>
          <w:b/>
          <w:kern w:val="0"/>
          <w:sz w:val="36"/>
          <w:szCs w:val="36"/>
        </w:rPr>
        <w:t>”</w:t>
      </w:r>
    </w:p>
    <w:p>
      <w:pPr>
        <w:keepNext w:val="0"/>
        <w:keepLines w:val="0"/>
        <w:pageBreakBefore w:val="0"/>
        <w:wordWrap/>
        <w:topLinePunct w:val="0"/>
        <w:autoSpaceDE/>
        <w:autoSpaceDN/>
        <w:bidi w:val="0"/>
        <w:snapToGrid/>
        <w:jc w:val="center"/>
        <w:textAlignment w:val="auto"/>
        <w:rPr>
          <w:rFonts w:hint="eastAsia" w:ascii="楷体" w:hAnsi="楷体" w:eastAsia="楷体"/>
          <w:b/>
          <w:kern w:val="0"/>
          <w:sz w:val="36"/>
          <w:szCs w:val="36"/>
        </w:rPr>
      </w:pPr>
      <w:r>
        <w:rPr>
          <w:rFonts w:hint="eastAsia" w:ascii="楷体" w:hAnsi="楷体" w:eastAsia="楷体"/>
          <w:b/>
          <w:kern w:val="0"/>
          <w:sz w:val="36"/>
          <w:szCs w:val="36"/>
        </w:rPr>
        <w:t>理财产品要素调整公告</w:t>
      </w:r>
    </w:p>
    <w:p>
      <w:pPr>
        <w:keepNext w:val="0"/>
        <w:keepLines w:val="0"/>
        <w:pageBreakBefore w:val="0"/>
        <w:wordWrap/>
        <w:topLinePunct w:val="0"/>
        <w:autoSpaceDE/>
        <w:autoSpaceDN/>
        <w:bidi w:val="0"/>
        <w:snapToGrid/>
        <w:jc w:val="center"/>
        <w:textAlignment w:val="auto"/>
        <w:rPr>
          <w:rFonts w:hint="eastAsia" w:ascii="楷体" w:hAnsi="楷体" w:eastAsia="楷体"/>
          <w:b/>
          <w:kern w:val="0"/>
          <w:sz w:val="36"/>
          <w:szCs w:val="36"/>
        </w:rPr>
      </w:pPr>
    </w:p>
    <w:p>
      <w:pPr>
        <w:keepNext w:val="0"/>
        <w:keepLines w:val="0"/>
        <w:pageBreakBefore w:val="0"/>
        <w:wordWrap/>
        <w:topLinePunct w:val="0"/>
        <w:autoSpaceDE/>
        <w:autoSpaceDN/>
        <w:bidi w:val="0"/>
        <w:snapToGrid/>
        <w:spacing w:line="520" w:lineRule="exact"/>
        <w:textAlignment w:val="auto"/>
        <w:rPr>
          <w:rFonts w:hint="eastAsia" w:ascii="楷体" w:hAnsi="楷体" w:eastAsia="楷体"/>
          <w:kern w:val="0"/>
          <w:sz w:val="28"/>
          <w:szCs w:val="28"/>
        </w:rPr>
      </w:pPr>
      <w:r>
        <w:rPr>
          <w:rFonts w:hint="eastAsia" w:ascii="楷体" w:hAnsi="楷体" w:eastAsia="楷体"/>
          <w:kern w:val="0"/>
          <w:sz w:val="28"/>
          <w:szCs w:val="28"/>
        </w:rPr>
        <w:t>尊敬的客户：</w:t>
      </w:r>
    </w:p>
    <w:p>
      <w:pPr>
        <w:pStyle w:val="11"/>
        <w:keepNext w:val="0"/>
        <w:keepLines w:val="0"/>
        <w:pageBreakBefore w:val="0"/>
        <w:wordWrap/>
        <w:topLinePunct w:val="0"/>
        <w:autoSpaceDE/>
        <w:autoSpaceDN/>
        <w:bidi w:val="0"/>
        <w:snapToGrid/>
        <w:spacing w:before="0" w:beforeAutospacing="0" w:after="0" w:afterAutospacing="0" w:line="480" w:lineRule="auto"/>
        <w:ind w:firstLine="560" w:firstLineChars="200"/>
        <w:textAlignment w:val="auto"/>
        <w:rPr>
          <w:rFonts w:hint="eastAsia" w:ascii="楷体" w:hAnsi="楷体" w:eastAsia="楷体" w:cs="Times New Roman"/>
          <w:sz w:val="28"/>
          <w:szCs w:val="28"/>
        </w:rPr>
      </w:pPr>
      <w:r>
        <w:rPr>
          <w:rFonts w:hint="eastAsia" w:ascii="楷体" w:hAnsi="楷体" w:eastAsia="楷体" w:cs="Times New Roman"/>
          <w:sz w:val="28"/>
          <w:szCs w:val="28"/>
        </w:rPr>
        <w:t>为满足客户的投资需要，</w:t>
      </w:r>
      <w:r>
        <w:rPr>
          <w:rFonts w:hint="eastAsia" w:ascii="楷体" w:hAnsi="楷体" w:eastAsia="楷体" w:cs="Times New Roman"/>
          <w:sz w:val="28"/>
          <w:szCs w:val="28"/>
          <w:lang w:val="en-US" w:eastAsia="zh-CN"/>
        </w:rPr>
        <w:t>管理人拟调整“苏银理财恒源最短持有90天”部分要素</w:t>
      </w:r>
      <w:r>
        <w:rPr>
          <w:rFonts w:hint="eastAsia" w:ascii="楷体" w:hAnsi="楷体" w:eastAsia="楷体" w:cs="Times New Roman"/>
          <w:sz w:val="28"/>
          <w:szCs w:val="28"/>
        </w:rPr>
        <w:t>，</w:t>
      </w:r>
      <w:r>
        <w:rPr>
          <w:rFonts w:hint="eastAsia" w:ascii="楷体" w:hAnsi="楷体" w:eastAsia="楷体" w:cs="Times New Roman"/>
          <w:sz w:val="28"/>
          <w:szCs w:val="28"/>
          <w:lang w:val="en-US" w:eastAsia="zh-CN"/>
        </w:rPr>
        <w:t>具体情况</w:t>
      </w:r>
      <w:r>
        <w:rPr>
          <w:rFonts w:hint="eastAsia" w:ascii="楷体" w:hAnsi="楷体" w:eastAsia="楷体" w:cs="Times New Roman"/>
          <w:sz w:val="28"/>
          <w:szCs w:val="28"/>
        </w:rPr>
        <w:t>如下：</w:t>
      </w:r>
    </w:p>
    <w:p>
      <w:pPr>
        <w:pStyle w:val="11"/>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240" w:lineRule="auto"/>
        <w:ind w:firstLine="562" w:firstLineChars="200"/>
        <w:textAlignment w:val="auto"/>
        <w:outlineLvl w:val="9"/>
        <w:rPr>
          <w:rFonts w:hint="eastAsia" w:ascii="楷体" w:hAnsi="楷体" w:eastAsia="楷体" w:cs="Times New Roman"/>
          <w:b/>
          <w:bCs/>
          <w:sz w:val="28"/>
          <w:szCs w:val="28"/>
          <w:lang w:val="en-US" w:eastAsia="zh-CN"/>
        </w:rPr>
      </w:pPr>
      <w:r>
        <w:rPr>
          <w:rFonts w:hint="eastAsia" w:ascii="楷体" w:hAnsi="楷体" w:eastAsia="楷体" w:cs="Times New Roman"/>
          <w:b/>
          <w:bCs/>
          <w:sz w:val="28"/>
          <w:szCs w:val="28"/>
          <w:lang w:val="en-US" w:eastAsia="zh-CN"/>
        </w:rPr>
        <w:t>调整业绩比较基准</w:t>
      </w:r>
    </w:p>
    <w:p>
      <w:pPr>
        <w:pStyle w:val="11"/>
        <w:keepNext w:val="0"/>
        <w:keepLines w:val="0"/>
        <w:pageBreakBefore w:val="0"/>
        <w:wordWrap/>
        <w:topLinePunct w:val="0"/>
        <w:autoSpaceDE/>
        <w:autoSpaceDN/>
        <w:bidi w:val="0"/>
        <w:snapToGrid/>
        <w:spacing w:before="0" w:beforeAutospacing="0" w:after="0" w:afterAutospacing="0" w:line="480" w:lineRule="auto"/>
        <w:ind w:firstLine="560" w:firstLineChars="200"/>
        <w:textAlignment w:val="auto"/>
        <w:rPr>
          <w:rFonts w:hint="eastAsia" w:ascii="楷体" w:hAnsi="楷体" w:eastAsia="楷体" w:cs="Times New Roman"/>
          <w:sz w:val="28"/>
          <w:szCs w:val="28"/>
        </w:rPr>
      </w:pPr>
      <w:r>
        <w:rPr>
          <w:rFonts w:hint="eastAsia" w:ascii="楷体" w:hAnsi="楷体" w:eastAsia="楷体" w:cs="Times New Roman"/>
          <w:sz w:val="28"/>
          <w:szCs w:val="28"/>
          <w:lang w:val="en-US" w:eastAsia="zh-CN"/>
        </w:rPr>
        <w:t>根据当前市场情况及产品投资运作情况，</w:t>
      </w:r>
      <w:r>
        <w:rPr>
          <w:rFonts w:hint="eastAsia" w:ascii="楷体" w:hAnsi="楷体" w:eastAsia="楷体" w:cs="Times New Roman"/>
          <w:sz w:val="28"/>
          <w:szCs w:val="28"/>
        </w:rPr>
        <w:t>管理人自202</w:t>
      </w:r>
      <w:r>
        <w:rPr>
          <w:rFonts w:hint="eastAsia" w:ascii="楷体" w:hAnsi="楷体" w:eastAsia="楷体" w:cs="Times New Roman"/>
          <w:sz w:val="28"/>
          <w:szCs w:val="28"/>
          <w:lang w:val="en-US" w:eastAsia="zh-CN"/>
        </w:rPr>
        <w:t>6</w:t>
      </w:r>
      <w:r>
        <w:rPr>
          <w:rFonts w:hint="eastAsia" w:ascii="楷体" w:hAnsi="楷体" w:eastAsia="楷体" w:cs="Times New Roman"/>
          <w:sz w:val="28"/>
          <w:szCs w:val="28"/>
        </w:rPr>
        <w:t>年</w:t>
      </w:r>
      <w:r>
        <w:rPr>
          <w:rFonts w:hint="eastAsia" w:ascii="楷体" w:hAnsi="楷体" w:eastAsia="楷体" w:cs="Times New Roman"/>
          <w:sz w:val="28"/>
          <w:szCs w:val="28"/>
          <w:lang w:val="en-US" w:eastAsia="zh-CN"/>
        </w:rPr>
        <w:t>2</w:t>
      </w:r>
      <w:r>
        <w:rPr>
          <w:rFonts w:hint="eastAsia" w:ascii="楷体" w:hAnsi="楷体" w:eastAsia="楷体" w:cs="Times New Roman"/>
          <w:sz w:val="28"/>
          <w:szCs w:val="28"/>
        </w:rPr>
        <w:t>月</w:t>
      </w:r>
      <w:r>
        <w:rPr>
          <w:rFonts w:hint="eastAsia" w:ascii="楷体" w:hAnsi="楷体" w:eastAsia="楷体" w:cs="Times New Roman"/>
          <w:sz w:val="28"/>
          <w:szCs w:val="28"/>
          <w:lang w:val="en-US" w:eastAsia="zh-CN"/>
        </w:rPr>
        <w:t>3</w:t>
      </w:r>
      <w:r>
        <w:rPr>
          <w:rFonts w:hint="eastAsia" w:ascii="楷体" w:hAnsi="楷体" w:eastAsia="楷体" w:cs="Times New Roman"/>
          <w:sz w:val="28"/>
          <w:szCs w:val="28"/>
        </w:rPr>
        <w:t>日起，</w:t>
      </w:r>
      <w:r>
        <w:rPr>
          <w:rFonts w:hint="eastAsia" w:ascii="楷体" w:hAnsi="楷体" w:eastAsia="楷体" w:cs="Times New Roman"/>
          <w:sz w:val="28"/>
          <w:szCs w:val="28"/>
          <w:lang w:val="en-US" w:eastAsia="zh-CN"/>
        </w:rPr>
        <w:t>拟</w:t>
      </w:r>
      <w:r>
        <w:rPr>
          <w:rFonts w:hint="eastAsia" w:ascii="楷体" w:hAnsi="楷体" w:eastAsia="楷体" w:cs="Times New Roman"/>
          <w:sz w:val="28"/>
          <w:szCs w:val="28"/>
        </w:rPr>
        <w:t>对“苏银理财恒源</w:t>
      </w:r>
      <w:r>
        <w:rPr>
          <w:rFonts w:hint="eastAsia" w:ascii="楷体" w:hAnsi="楷体" w:eastAsia="楷体" w:cs="Times New Roman"/>
          <w:sz w:val="28"/>
          <w:szCs w:val="28"/>
          <w:lang w:eastAsia="zh-CN"/>
        </w:rPr>
        <w:t>最短持有90天</w:t>
      </w:r>
      <w:r>
        <w:rPr>
          <w:rFonts w:hint="eastAsia" w:ascii="楷体" w:hAnsi="楷体" w:eastAsia="楷体" w:cs="Times New Roman"/>
          <w:sz w:val="28"/>
          <w:szCs w:val="28"/>
        </w:rPr>
        <w:t>”理财产品的</w:t>
      </w:r>
      <w:r>
        <w:rPr>
          <w:rFonts w:hint="eastAsia" w:ascii="楷体" w:hAnsi="楷体" w:eastAsia="楷体" w:cs="Times New Roman"/>
          <w:sz w:val="28"/>
          <w:szCs w:val="28"/>
          <w:lang w:val="en-US" w:eastAsia="zh-CN"/>
        </w:rPr>
        <w:t>业绩比较基准进行调整（业绩比较基准不代表理财产品未来表现，不等于理财产品实际收益，不作为产品收益的业绩保证，投资者的实际收益由产品净值表现决定）。具体情况如下</w:t>
      </w:r>
      <w:r>
        <w:rPr>
          <w:rFonts w:hint="eastAsia" w:ascii="楷体" w:hAnsi="楷体" w:eastAsia="楷体" w:cs="Times New Roman"/>
          <w:sz w:val="28"/>
          <w:szCs w:val="28"/>
        </w:rPr>
        <w:t>：</w:t>
      </w:r>
    </w:p>
    <w:tbl>
      <w:tblPr>
        <w:tblStyle w:val="1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38"/>
        <w:gridCol w:w="964"/>
        <w:gridCol w:w="2508"/>
        <w:gridCol w:w="25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30" w:type="pct"/>
            <w:noWrap w:val="0"/>
            <w:vAlign w:val="center"/>
          </w:tcPr>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0" w:lineRule="atLeast"/>
              <w:jc w:val="center"/>
              <w:rPr>
                <w:rFonts w:hint="eastAsia" w:ascii="楷体" w:hAnsi="楷体" w:eastAsia="楷体" w:cs="楷体"/>
                <w:b/>
                <w:bCs/>
                <w:sz w:val="24"/>
                <w:szCs w:val="24"/>
                <w:vertAlign w:val="baseline"/>
                <w:lang w:val="en-US" w:eastAsia="zh-CN"/>
              </w:rPr>
            </w:pPr>
            <w:r>
              <w:rPr>
                <w:rFonts w:hint="eastAsia" w:ascii="楷体" w:hAnsi="楷体" w:eastAsia="楷体" w:cs="楷体"/>
                <w:b/>
                <w:bCs/>
                <w:sz w:val="24"/>
                <w:szCs w:val="24"/>
                <w:lang w:val="en-US" w:eastAsia="zh-CN"/>
              </w:rPr>
              <w:t>销售名称</w:t>
            </w:r>
          </w:p>
        </w:tc>
        <w:tc>
          <w:tcPr>
            <w:tcW w:w="559" w:type="pct"/>
            <w:noWrap w:val="0"/>
            <w:vAlign w:val="center"/>
          </w:tcPr>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0" w:lineRule="atLeast"/>
              <w:jc w:val="center"/>
              <w:rPr>
                <w:rFonts w:hint="eastAsia" w:ascii="楷体" w:hAnsi="楷体" w:eastAsia="楷体" w:cs="楷体"/>
                <w:b/>
                <w:bCs/>
                <w:sz w:val="24"/>
                <w:szCs w:val="24"/>
              </w:rPr>
            </w:pPr>
            <w:r>
              <w:rPr>
                <w:rFonts w:hint="eastAsia" w:ascii="楷体" w:hAnsi="楷体" w:eastAsia="楷体" w:cs="楷体"/>
                <w:b/>
                <w:bCs/>
                <w:sz w:val="24"/>
                <w:szCs w:val="24"/>
              </w:rPr>
              <w:t>销售</w:t>
            </w:r>
          </w:p>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0" w:lineRule="atLeast"/>
              <w:jc w:val="center"/>
              <w:rPr>
                <w:rFonts w:hint="eastAsia" w:ascii="楷体" w:hAnsi="楷体" w:eastAsia="楷体" w:cs="楷体"/>
                <w:b/>
                <w:bCs/>
                <w:sz w:val="24"/>
                <w:szCs w:val="24"/>
                <w:vertAlign w:val="baseline"/>
                <w:lang w:val="en-US" w:eastAsia="zh-CN"/>
              </w:rPr>
            </w:pPr>
            <w:r>
              <w:rPr>
                <w:rFonts w:hint="eastAsia" w:ascii="楷体" w:hAnsi="楷体" w:eastAsia="楷体" w:cs="楷体"/>
                <w:b/>
                <w:bCs/>
                <w:sz w:val="24"/>
                <w:szCs w:val="24"/>
              </w:rPr>
              <w:t>代码</w:t>
            </w:r>
          </w:p>
        </w:tc>
        <w:tc>
          <w:tcPr>
            <w:tcW w:w="1455" w:type="pct"/>
            <w:noWrap w:val="0"/>
            <w:vAlign w:val="center"/>
          </w:tcPr>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0" w:lineRule="atLeast"/>
              <w:jc w:val="center"/>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调整前</w:t>
            </w:r>
          </w:p>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0" w:lineRule="atLeast"/>
              <w:jc w:val="center"/>
              <w:rPr>
                <w:rFonts w:hint="eastAsia" w:ascii="楷体" w:hAnsi="楷体" w:eastAsia="楷体" w:cs="楷体"/>
                <w:b/>
                <w:bCs/>
                <w:sz w:val="24"/>
                <w:szCs w:val="24"/>
                <w:vertAlign w:val="baseline"/>
                <w:lang w:val="en-US" w:eastAsia="zh-CN"/>
              </w:rPr>
            </w:pPr>
            <w:r>
              <w:rPr>
                <w:rFonts w:hint="eastAsia" w:ascii="楷体" w:hAnsi="楷体" w:eastAsia="楷体" w:cs="楷体"/>
                <w:b/>
                <w:bCs/>
                <w:sz w:val="24"/>
                <w:szCs w:val="24"/>
                <w:lang w:val="en-US" w:eastAsia="zh-CN"/>
              </w:rPr>
              <w:t>业绩比较基准（年化）</w:t>
            </w:r>
          </w:p>
        </w:tc>
        <w:tc>
          <w:tcPr>
            <w:tcW w:w="1455" w:type="pct"/>
            <w:noWrap w:val="0"/>
            <w:vAlign w:val="center"/>
          </w:tcPr>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0" w:lineRule="atLeast"/>
              <w:jc w:val="center"/>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调整后</w:t>
            </w:r>
          </w:p>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0" w:lineRule="atLeast"/>
              <w:jc w:val="center"/>
              <w:rPr>
                <w:rFonts w:hint="eastAsia" w:ascii="楷体" w:hAnsi="楷体" w:eastAsia="楷体" w:cs="楷体"/>
                <w:b/>
                <w:bCs/>
                <w:sz w:val="24"/>
                <w:szCs w:val="24"/>
                <w:vertAlign w:val="baseline"/>
                <w:lang w:val="en-US" w:eastAsia="zh-CN"/>
              </w:rPr>
            </w:pPr>
            <w:r>
              <w:rPr>
                <w:rFonts w:hint="eastAsia" w:ascii="楷体" w:hAnsi="楷体" w:eastAsia="楷体" w:cs="楷体"/>
                <w:b/>
                <w:bCs/>
                <w:sz w:val="24"/>
                <w:szCs w:val="24"/>
                <w:lang w:val="en-US" w:eastAsia="zh-CN"/>
              </w:rPr>
              <w:t>业绩比较基准（年化）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30"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苏银理财恒源最短持有90天A</w:t>
            </w:r>
          </w:p>
        </w:tc>
        <w:tc>
          <w:tcPr>
            <w:tcW w:w="55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J02000</w:t>
            </w:r>
          </w:p>
        </w:tc>
        <w:tc>
          <w:tcPr>
            <w:tcW w:w="1455"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2.00%-2.80%</w:t>
            </w:r>
          </w:p>
        </w:tc>
        <w:tc>
          <w:tcPr>
            <w:tcW w:w="1455" w:type="pct"/>
            <w:vMerge w:val="restar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中债-高信用等级中期票据全价(1年以下)指数收益率+0.20%</w:t>
            </w:r>
          </w:p>
          <w:p>
            <w:pPr>
              <w:keepNext w:val="0"/>
              <w:keepLines w:val="0"/>
              <w:widowControl/>
              <w:suppressLineNumbers w:val="0"/>
              <w:jc w:val="center"/>
              <w:textAlignment w:val="center"/>
              <w:rPr>
                <w:rFonts w:hint="eastAsia" w:ascii="楷体" w:hAnsi="楷体" w:eastAsia="楷体" w:cs="楷体"/>
                <w:i w:val="0"/>
                <w:iCs w:val="0"/>
                <w:color w:val="auto"/>
                <w:kern w:val="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30"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苏银理财恒源最短持有90天C</w:t>
            </w:r>
          </w:p>
        </w:tc>
        <w:tc>
          <w:tcPr>
            <w:tcW w:w="55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J02001</w:t>
            </w:r>
          </w:p>
        </w:tc>
        <w:tc>
          <w:tcPr>
            <w:tcW w:w="1455"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2.05%-2.85%</w:t>
            </w:r>
          </w:p>
        </w:tc>
        <w:tc>
          <w:tcPr>
            <w:tcW w:w="1455" w:type="pct"/>
            <w:vMerge w:val="continue"/>
            <w:tcBorders/>
            <w:noWrap w:val="0"/>
            <w:vAlign w:val="center"/>
          </w:tcPr>
          <w:p>
            <w:pPr>
              <w:keepNext w:val="0"/>
              <w:keepLines w:val="0"/>
              <w:widowControl/>
              <w:suppressLineNumbers w:val="0"/>
              <w:jc w:val="center"/>
              <w:textAlignment w:val="center"/>
              <w:rPr>
                <w:rFonts w:hint="eastAsia" w:ascii="楷体" w:hAnsi="楷体" w:eastAsia="楷体" w:cs="楷体"/>
                <w:i w:val="0"/>
                <w:iCs w:val="0"/>
                <w:color w:val="auto"/>
                <w:kern w:val="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30"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苏银理财恒源最短持有90天D</w:t>
            </w:r>
          </w:p>
        </w:tc>
        <w:tc>
          <w:tcPr>
            <w:tcW w:w="55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J02002</w:t>
            </w:r>
          </w:p>
        </w:tc>
        <w:tc>
          <w:tcPr>
            <w:tcW w:w="1455"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2.15%-2.95%</w:t>
            </w:r>
          </w:p>
        </w:tc>
        <w:tc>
          <w:tcPr>
            <w:tcW w:w="1455" w:type="pct"/>
            <w:vMerge w:val="continue"/>
            <w:tcBorders/>
            <w:noWrap w:val="0"/>
            <w:vAlign w:val="center"/>
          </w:tcPr>
          <w:p>
            <w:pPr>
              <w:keepNext w:val="0"/>
              <w:keepLines w:val="0"/>
              <w:widowControl/>
              <w:suppressLineNumbers w:val="0"/>
              <w:jc w:val="center"/>
              <w:textAlignment w:val="center"/>
              <w:rPr>
                <w:rFonts w:hint="eastAsia" w:ascii="楷体" w:hAnsi="楷体" w:eastAsia="楷体" w:cs="楷体"/>
                <w:i w:val="0"/>
                <w:iCs w:val="0"/>
                <w:color w:val="auto"/>
                <w:kern w:val="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30"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苏银理财恒源最短持有90天F</w:t>
            </w:r>
          </w:p>
        </w:tc>
        <w:tc>
          <w:tcPr>
            <w:tcW w:w="55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J02976</w:t>
            </w:r>
          </w:p>
        </w:tc>
        <w:tc>
          <w:tcPr>
            <w:tcW w:w="1455"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1.80%-2.80%</w:t>
            </w:r>
          </w:p>
        </w:tc>
        <w:tc>
          <w:tcPr>
            <w:tcW w:w="1455" w:type="pct"/>
            <w:vMerge w:val="continue"/>
            <w:tcBorders/>
            <w:noWrap w:val="0"/>
            <w:vAlign w:val="center"/>
          </w:tcPr>
          <w:p>
            <w:pPr>
              <w:keepNext w:val="0"/>
              <w:keepLines w:val="0"/>
              <w:widowControl/>
              <w:suppressLineNumbers w:val="0"/>
              <w:jc w:val="center"/>
              <w:textAlignment w:val="center"/>
              <w:rPr>
                <w:rFonts w:hint="eastAsia" w:ascii="楷体" w:hAnsi="楷体" w:eastAsia="楷体" w:cs="楷体"/>
                <w:i w:val="0"/>
                <w:color w:val="auto"/>
                <w:kern w:val="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30"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苏银理财恒源最短持有90天JS鑫福款</w:t>
            </w:r>
          </w:p>
        </w:tc>
        <w:tc>
          <w:tcPr>
            <w:tcW w:w="55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J03395</w:t>
            </w:r>
          </w:p>
        </w:tc>
        <w:tc>
          <w:tcPr>
            <w:tcW w:w="1455"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1.80%-2.80%</w:t>
            </w:r>
          </w:p>
        </w:tc>
        <w:tc>
          <w:tcPr>
            <w:tcW w:w="1455" w:type="pct"/>
            <w:vMerge w:val="continue"/>
            <w:tcBorders/>
            <w:noWrap w:val="0"/>
            <w:vAlign w:val="center"/>
          </w:tcPr>
          <w:p>
            <w:pPr>
              <w:keepNext w:val="0"/>
              <w:keepLines w:val="0"/>
              <w:widowControl/>
              <w:suppressLineNumbers w:val="0"/>
              <w:jc w:val="center"/>
              <w:textAlignment w:val="center"/>
              <w:rPr>
                <w:rFonts w:hint="eastAsia" w:ascii="楷体" w:hAnsi="楷体" w:eastAsia="楷体" w:cs="楷体"/>
                <w:i w:val="0"/>
                <w:color w:val="auto"/>
                <w:kern w:val="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30"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苏银理财恒源最短持有90天（代发专享）</w:t>
            </w:r>
          </w:p>
        </w:tc>
        <w:tc>
          <w:tcPr>
            <w:tcW w:w="55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J03424</w:t>
            </w:r>
          </w:p>
        </w:tc>
        <w:tc>
          <w:tcPr>
            <w:tcW w:w="1455"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2.05%-2.85%</w:t>
            </w:r>
          </w:p>
        </w:tc>
        <w:tc>
          <w:tcPr>
            <w:tcW w:w="1455" w:type="pct"/>
            <w:vMerge w:val="continue"/>
            <w:tcBorders/>
            <w:noWrap w:val="0"/>
            <w:vAlign w:val="center"/>
          </w:tcPr>
          <w:p>
            <w:pPr>
              <w:keepNext w:val="0"/>
              <w:keepLines w:val="0"/>
              <w:widowControl/>
              <w:suppressLineNumbers w:val="0"/>
              <w:jc w:val="center"/>
              <w:textAlignment w:val="center"/>
              <w:rPr>
                <w:rFonts w:hint="eastAsia" w:ascii="楷体" w:hAnsi="楷体" w:eastAsia="楷体" w:cs="楷体"/>
                <w:i w:val="0"/>
                <w:iCs w:val="0"/>
                <w:color w:val="auto"/>
                <w:kern w:val="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30"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苏银理财恒源最短持有90天G</w:t>
            </w:r>
          </w:p>
        </w:tc>
        <w:tc>
          <w:tcPr>
            <w:tcW w:w="55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J03496</w:t>
            </w:r>
          </w:p>
        </w:tc>
        <w:tc>
          <w:tcPr>
            <w:tcW w:w="1455"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2.00%-3.00%</w:t>
            </w:r>
          </w:p>
        </w:tc>
        <w:tc>
          <w:tcPr>
            <w:tcW w:w="1455" w:type="pct"/>
            <w:vMerge w:val="continue"/>
            <w:tcBorders/>
            <w:noWrap w:val="0"/>
            <w:vAlign w:val="center"/>
          </w:tcPr>
          <w:p>
            <w:pPr>
              <w:keepNext w:val="0"/>
              <w:keepLines w:val="0"/>
              <w:widowControl/>
              <w:suppressLineNumbers w:val="0"/>
              <w:jc w:val="center"/>
              <w:textAlignment w:val="center"/>
              <w:rPr>
                <w:rFonts w:hint="eastAsia" w:ascii="楷体" w:hAnsi="楷体" w:eastAsia="楷体" w:cs="楷体"/>
                <w:i w:val="0"/>
                <w:color w:val="auto"/>
                <w:kern w:val="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30"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苏银理财恒源最短持有90天J</w:t>
            </w:r>
          </w:p>
        </w:tc>
        <w:tc>
          <w:tcPr>
            <w:tcW w:w="55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J03497</w:t>
            </w:r>
          </w:p>
        </w:tc>
        <w:tc>
          <w:tcPr>
            <w:tcW w:w="1455"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2.20%-3.00%</w:t>
            </w:r>
          </w:p>
        </w:tc>
        <w:tc>
          <w:tcPr>
            <w:tcW w:w="1455" w:type="pct"/>
            <w:vMerge w:val="continue"/>
            <w:tcBorders/>
            <w:noWrap w:val="0"/>
            <w:vAlign w:val="center"/>
          </w:tcPr>
          <w:p>
            <w:pPr>
              <w:keepNext w:val="0"/>
              <w:keepLines w:val="0"/>
              <w:widowControl/>
              <w:suppressLineNumbers w:val="0"/>
              <w:jc w:val="center"/>
              <w:textAlignment w:val="center"/>
              <w:rPr>
                <w:rFonts w:hint="eastAsia" w:ascii="楷体" w:hAnsi="楷体" w:eastAsia="楷体" w:cs="楷体"/>
                <w:i w:val="0"/>
                <w:iCs w:val="0"/>
                <w:color w:val="auto"/>
                <w:kern w:val="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30"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苏银理财恒源最短持有90天H</w:t>
            </w:r>
          </w:p>
        </w:tc>
        <w:tc>
          <w:tcPr>
            <w:tcW w:w="55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J03541</w:t>
            </w:r>
          </w:p>
        </w:tc>
        <w:tc>
          <w:tcPr>
            <w:tcW w:w="1455"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1.80%-2.80%</w:t>
            </w:r>
          </w:p>
        </w:tc>
        <w:tc>
          <w:tcPr>
            <w:tcW w:w="1455" w:type="pct"/>
            <w:vMerge w:val="continue"/>
            <w:tcBorders/>
            <w:noWrap w:val="0"/>
            <w:vAlign w:val="center"/>
          </w:tcPr>
          <w:p>
            <w:pPr>
              <w:keepNext w:val="0"/>
              <w:keepLines w:val="0"/>
              <w:widowControl/>
              <w:suppressLineNumbers w:val="0"/>
              <w:jc w:val="center"/>
              <w:textAlignment w:val="center"/>
              <w:rPr>
                <w:rFonts w:hint="eastAsia" w:ascii="楷体" w:hAnsi="楷体" w:eastAsia="楷体" w:cs="楷体"/>
                <w:i w:val="0"/>
                <w:color w:val="auto"/>
                <w:kern w:val="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30"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苏银理财恒源最短持有90天（芙蓉锦程·优选）</w:t>
            </w:r>
          </w:p>
        </w:tc>
        <w:tc>
          <w:tcPr>
            <w:tcW w:w="55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J03604</w:t>
            </w:r>
          </w:p>
        </w:tc>
        <w:tc>
          <w:tcPr>
            <w:tcW w:w="1455"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1.80%-2.80%</w:t>
            </w:r>
          </w:p>
        </w:tc>
        <w:tc>
          <w:tcPr>
            <w:tcW w:w="1455" w:type="pct"/>
            <w:vMerge w:val="continue"/>
            <w:tcBorders/>
            <w:noWrap w:val="0"/>
            <w:vAlign w:val="center"/>
          </w:tcPr>
          <w:p>
            <w:pPr>
              <w:keepNext w:val="0"/>
              <w:keepLines w:val="0"/>
              <w:widowControl/>
              <w:suppressLineNumbers w:val="0"/>
              <w:jc w:val="center"/>
              <w:textAlignment w:val="center"/>
              <w:rPr>
                <w:rFonts w:hint="eastAsia" w:ascii="楷体" w:hAnsi="楷体" w:eastAsia="楷体" w:cs="楷体"/>
                <w:i w:val="0"/>
                <w:iCs w:val="0"/>
                <w:color w:val="auto"/>
                <w:kern w:val="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30"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苏银理财恒源最短持有90天E</w:t>
            </w:r>
          </w:p>
        </w:tc>
        <w:tc>
          <w:tcPr>
            <w:tcW w:w="55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J03667</w:t>
            </w:r>
          </w:p>
        </w:tc>
        <w:tc>
          <w:tcPr>
            <w:tcW w:w="1455"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2.25%-3.05%</w:t>
            </w:r>
          </w:p>
        </w:tc>
        <w:tc>
          <w:tcPr>
            <w:tcW w:w="1455" w:type="pct"/>
            <w:vMerge w:val="continue"/>
            <w:tcBorders/>
            <w:noWrap w:val="0"/>
            <w:vAlign w:val="center"/>
          </w:tcPr>
          <w:p>
            <w:pPr>
              <w:keepNext w:val="0"/>
              <w:keepLines w:val="0"/>
              <w:widowControl/>
              <w:suppressLineNumbers w:val="0"/>
              <w:jc w:val="center"/>
              <w:textAlignment w:val="center"/>
              <w:rPr>
                <w:rFonts w:hint="eastAsia" w:ascii="楷体" w:hAnsi="楷体" w:eastAsia="楷体" w:cs="楷体"/>
                <w:i w:val="0"/>
                <w:iCs w:val="0"/>
                <w:color w:val="auto"/>
                <w:kern w:val="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30"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苏银理财恒源最短持有90天（芙蓉锦程·优选-新客专享）</w:t>
            </w:r>
          </w:p>
        </w:tc>
        <w:tc>
          <w:tcPr>
            <w:tcW w:w="55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J03748</w:t>
            </w:r>
          </w:p>
        </w:tc>
        <w:tc>
          <w:tcPr>
            <w:tcW w:w="1455"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1.90%-2.90%</w:t>
            </w:r>
          </w:p>
        </w:tc>
        <w:tc>
          <w:tcPr>
            <w:tcW w:w="1455" w:type="pct"/>
            <w:vMerge w:val="continue"/>
            <w:tcBorders/>
            <w:noWrap w:val="0"/>
            <w:vAlign w:val="center"/>
          </w:tcPr>
          <w:p>
            <w:pPr>
              <w:keepNext w:val="0"/>
              <w:keepLines w:val="0"/>
              <w:widowControl/>
              <w:suppressLineNumbers w:val="0"/>
              <w:jc w:val="center"/>
              <w:textAlignment w:val="center"/>
              <w:rPr>
                <w:rFonts w:hint="eastAsia" w:ascii="楷体" w:hAnsi="楷体" w:eastAsia="楷体" w:cs="楷体"/>
                <w:i w:val="0"/>
                <w:iCs w:val="0"/>
                <w:color w:val="auto"/>
                <w:kern w:val="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30"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苏银理财恒源最短持有90天（芙蓉锦程·优选-代发客户专享）</w:t>
            </w:r>
          </w:p>
        </w:tc>
        <w:tc>
          <w:tcPr>
            <w:tcW w:w="55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J03778</w:t>
            </w:r>
          </w:p>
        </w:tc>
        <w:tc>
          <w:tcPr>
            <w:tcW w:w="1455"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1.90%-2.90%</w:t>
            </w:r>
          </w:p>
        </w:tc>
        <w:tc>
          <w:tcPr>
            <w:tcW w:w="1455" w:type="pct"/>
            <w:vMerge w:val="continue"/>
            <w:tcBorders/>
            <w:noWrap w:val="0"/>
            <w:vAlign w:val="center"/>
          </w:tcPr>
          <w:p>
            <w:pPr>
              <w:keepNext w:val="0"/>
              <w:keepLines w:val="0"/>
              <w:widowControl/>
              <w:suppressLineNumbers w:val="0"/>
              <w:jc w:val="center"/>
              <w:textAlignment w:val="center"/>
              <w:rPr>
                <w:rFonts w:hint="eastAsia" w:ascii="楷体" w:hAnsi="楷体" w:eastAsia="楷体" w:cs="楷体"/>
                <w:i w:val="0"/>
                <w:iCs w:val="0"/>
                <w:color w:val="auto"/>
                <w:kern w:val="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30"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苏银理财恒源最短持有90天K</w:t>
            </w:r>
          </w:p>
        </w:tc>
        <w:tc>
          <w:tcPr>
            <w:tcW w:w="55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J07881</w:t>
            </w:r>
          </w:p>
        </w:tc>
        <w:tc>
          <w:tcPr>
            <w:tcW w:w="1455"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2.30%-3.10%</w:t>
            </w:r>
          </w:p>
        </w:tc>
        <w:tc>
          <w:tcPr>
            <w:tcW w:w="1455" w:type="pct"/>
            <w:vMerge w:val="continue"/>
            <w:tcBorders/>
            <w:noWrap w:val="0"/>
            <w:vAlign w:val="center"/>
          </w:tcPr>
          <w:p>
            <w:pPr>
              <w:keepNext w:val="0"/>
              <w:keepLines w:val="0"/>
              <w:widowControl/>
              <w:suppressLineNumbers w:val="0"/>
              <w:jc w:val="center"/>
              <w:textAlignment w:val="center"/>
              <w:rPr>
                <w:rFonts w:hint="eastAsia" w:ascii="楷体" w:hAnsi="楷体" w:eastAsia="楷体" w:cs="楷体"/>
                <w:i w:val="0"/>
                <w:iCs w:val="0"/>
                <w:color w:val="auto"/>
                <w:kern w:val="0"/>
                <w:sz w:val="24"/>
                <w:szCs w:val="24"/>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530"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苏银理财恒源最短持有90天M</w:t>
            </w:r>
          </w:p>
        </w:tc>
        <w:tc>
          <w:tcPr>
            <w:tcW w:w="559"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J07882</w:t>
            </w:r>
          </w:p>
        </w:tc>
        <w:tc>
          <w:tcPr>
            <w:tcW w:w="1455"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1.80%-2.80%</w:t>
            </w:r>
          </w:p>
        </w:tc>
        <w:tc>
          <w:tcPr>
            <w:tcW w:w="1455" w:type="pct"/>
            <w:vMerge w:val="continue"/>
            <w:tcBorders/>
            <w:noWrap w:val="0"/>
            <w:vAlign w:val="center"/>
          </w:tcPr>
          <w:p>
            <w:pPr>
              <w:keepNext w:val="0"/>
              <w:keepLines w:val="0"/>
              <w:widowControl/>
              <w:suppressLineNumbers w:val="0"/>
              <w:jc w:val="center"/>
              <w:textAlignment w:val="center"/>
              <w:rPr>
                <w:rFonts w:hint="eastAsia" w:ascii="楷体" w:hAnsi="楷体" w:eastAsia="楷体" w:cs="楷体"/>
                <w:i w:val="0"/>
                <w:iCs w:val="0"/>
                <w:color w:val="auto"/>
                <w:kern w:val="0"/>
                <w:sz w:val="24"/>
                <w:szCs w:val="24"/>
                <w:u w:val="none"/>
                <w:lang w:val="en-US" w:eastAsia="zh-CN" w:bidi="ar"/>
              </w:rPr>
            </w:pPr>
          </w:p>
        </w:tc>
      </w:tr>
    </w:tbl>
    <w:p>
      <w:pPr>
        <w:pStyle w:val="11"/>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240" w:lineRule="auto"/>
        <w:ind w:firstLine="562" w:firstLineChars="200"/>
        <w:textAlignment w:val="auto"/>
        <w:outlineLvl w:val="9"/>
        <w:rPr>
          <w:rFonts w:hint="eastAsia" w:ascii="楷体" w:hAnsi="楷体" w:eastAsia="楷体" w:cs="Times New Roman"/>
          <w:b/>
          <w:bCs/>
          <w:sz w:val="28"/>
          <w:szCs w:val="28"/>
          <w:lang w:val="en-US" w:eastAsia="zh-CN"/>
        </w:rPr>
      </w:pPr>
      <w:r>
        <w:rPr>
          <w:rFonts w:hint="eastAsia" w:ascii="楷体" w:hAnsi="楷体" w:eastAsia="楷体" w:cs="Times New Roman"/>
          <w:b/>
          <w:bCs/>
          <w:sz w:val="28"/>
          <w:szCs w:val="28"/>
          <w:lang w:val="en-US" w:eastAsia="zh-CN"/>
        </w:rPr>
        <w:t>调整超额业绩报酬（如有）</w:t>
      </w:r>
    </w:p>
    <w:tbl>
      <w:tblPr>
        <w:tblStyle w:val="1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08"/>
        <w:gridCol w:w="43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99" w:type="pct"/>
            <w:noWrap w:val="0"/>
            <w:vAlign w:val="center"/>
          </w:tcPr>
          <w:p>
            <w:pPr>
              <w:keepNext w:val="0"/>
              <w:keepLines w:val="0"/>
              <w:pageBreakBefore w:val="0"/>
              <w:widowControl w:val="0"/>
              <w:kinsoku/>
              <w:wordWrap/>
              <w:overflowPunct/>
              <w:topLinePunct w:val="0"/>
              <w:autoSpaceDE/>
              <w:autoSpaceDN/>
              <w:bidi w:val="0"/>
              <w:adjustRightInd w:val="0"/>
              <w:snapToGrid/>
              <w:spacing w:before="0" w:line="240" w:lineRule="auto"/>
              <w:ind w:left="0" w:leftChars="0" w:firstLine="0" w:firstLineChars="0"/>
              <w:jc w:val="center"/>
              <w:textAlignment w:val="auto"/>
              <w:rPr>
                <w:rFonts w:hint="eastAsia" w:ascii="楷体" w:hAnsi="楷体" w:eastAsia="楷体" w:cs="楷体"/>
                <w:b/>
                <w:bCs/>
                <w:kern w:val="0"/>
                <w:sz w:val="24"/>
                <w:szCs w:val="24"/>
                <w:lang w:val="en-US" w:eastAsia="zh-CN" w:bidi="ar-SA"/>
              </w:rPr>
            </w:pPr>
            <w:r>
              <w:rPr>
                <w:rFonts w:hint="eastAsia" w:ascii="楷体" w:hAnsi="楷体" w:eastAsia="楷体" w:cs="楷体"/>
                <w:b/>
                <w:bCs/>
                <w:kern w:val="0"/>
                <w:sz w:val="24"/>
                <w:szCs w:val="24"/>
                <w:lang w:val="en-US" w:eastAsia="zh-CN" w:bidi="ar-SA"/>
              </w:rPr>
              <w:t>调整前</w:t>
            </w:r>
          </w:p>
        </w:tc>
        <w:tc>
          <w:tcPr>
            <w:tcW w:w="2500" w:type="pct"/>
            <w:noWrap w:val="0"/>
            <w:vAlign w:val="center"/>
          </w:tcPr>
          <w:p>
            <w:pPr>
              <w:keepNext w:val="0"/>
              <w:keepLines w:val="0"/>
              <w:pageBreakBefore w:val="0"/>
              <w:widowControl w:val="0"/>
              <w:kinsoku/>
              <w:wordWrap/>
              <w:overflowPunct/>
              <w:topLinePunct w:val="0"/>
              <w:autoSpaceDE/>
              <w:autoSpaceDN/>
              <w:bidi w:val="0"/>
              <w:adjustRightInd w:val="0"/>
              <w:snapToGrid/>
              <w:spacing w:before="0" w:line="240" w:lineRule="auto"/>
              <w:ind w:left="0" w:leftChars="0" w:firstLine="0" w:firstLineChars="0"/>
              <w:jc w:val="center"/>
              <w:textAlignment w:val="auto"/>
              <w:rPr>
                <w:rFonts w:hint="eastAsia" w:ascii="楷体" w:hAnsi="楷体" w:eastAsia="楷体" w:cs="楷体"/>
                <w:b/>
                <w:bCs/>
                <w:kern w:val="0"/>
                <w:sz w:val="24"/>
                <w:szCs w:val="24"/>
                <w:lang w:val="en-US" w:eastAsia="zh-CN" w:bidi="ar-SA"/>
              </w:rPr>
            </w:pPr>
            <w:r>
              <w:rPr>
                <w:rFonts w:hint="eastAsia" w:ascii="楷体" w:hAnsi="楷体" w:eastAsia="楷体" w:cs="楷体"/>
                <w:b/>
                <w:bCs/>
                <w:kern w:val="0"/>
                <w:sz w:val="24"/>
                <w:szCs w:val="24"/>
                <w:lang w:val="en-US" w:eastAsia="zh-CN" w:bidi="ar-SA"/>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6" w:hRule="atLeast"/>
        </w:trPr>
        <w:tc>
          <w:tcPr>
            <w:tcW w:w="2499" w:type="pct"/>
            <w:noWrap w:val="0"/>
            <w:vAlign w:val="center"/>
          </w:tcPr>
          <w:p>
            <w:pPr>
              <w:keepNext w:val="0"/>
              <w:keepLines w:val="0"/>
              <w:pageBreakBefore w:val="0"/>
              <w:widowControl w:val="0"/>
              <w:kinsoku/>
              <w:wordWrap/>
              <w:overflowPunct/>
              <w:topLinePunct w:val="0"/>
              <w:autoSpaceDE/>
              <w:autoSpaceDN/>
              <w:bidi w:val="0"/>
              <w:adjustRightInd w:val="0"/>
              <w:snapToGrid/>
              <w:spacing w:before="0" w:line="240" w:lineRule="auto"/>
              <w:ind w:left="0"/>
              <w:jc w:val="both"/>
              <w:textAlignment w:val="auto"/>
              <w:rPr>
                <w:rFonts w:hint="eastAsia" w:ascii="楷体" w:hAnsi="楷体" w:eastAsia="楷体" w:cs="楷体"/>
                <w:kern w:val="0"/>
                <w:sz w:val="24"/>
                <w:szCs w:val="24"/>
                <w:lang w:val="en-US" w:eastAsia="zh-CN" w:bidi="ar-SA"/>
              </w:rPr>
            </w:pPr>
            <w:r>
              <w:rPr>
                <w:rFonts w:hint="eastAsia" w:ascii="楷体" w:hAnsi="楷体" w:eastAsia="楷体" w:cs="楷体"/>
                <w:kern w:val="0"/>
                <w:sz w:val="24"/>
                <w:szCs w:val="24"/>
                <w:lang w:val="en-US" w:eastAsia="zh-CN" w:bidi="ar-SA"/>
              </w:rPr>
              <w:t>假设客户持有期间的年化收益率为R：若R＜业绩比较基准下限，管理人无超额业绩报酬；若业绩比较基准下限≤R＜业绩比较基准上限，管理人对超出业绩比较基准下限的部分收取5%超额业绩报酬；若R≥业绩比较基准上限，管理人对业绩比较基准上限与业绩比较基准下限之间的部分收取5%超额业绩报酬，对超过业绩比较基准上限的部分收取30%超额业绩报酬。</w:t>
            </w:r>
          </w:p>
        </w:tc>
        <w:tc>
          <w:tcPr>
            <w:tcW w:w="2500" w:type="pct"/>
            <w:noWrap w:val="0"/>
            <w:vAlign w:val="center"/>
          </w:tcPr>
          <w:p>
            <w:pPr>
              <w:keepNext w:val="0"/>
              <w:keepLines w:val="0"/>
              <w:pageBreakBefore w:val="0"/>
              <w:widowControl w:val="0"/>
              <w:kinsoku/>
              <w:wordWrap/>
              <w:overflowPunct/>
              <w:topLinePunct w:val="0"/>
              <w:autoSpaceDE/>
              <w:autoSpaceDN/>
              <w:bidi w:val="0"/>
              <w:adjustRightInd w:val="0"/>
              <w:snapToGrid/>
              <w:spacing w:before="0" w:line="240" w:lineRule="auto"/>
              <w:ind w:left="0"/>
              <w:jc w:val="both"/>
              <w:textAlignment w:val="auto"/>
              <w:rPr>
                <w:rFonts w:hint="eastAsia" w:ascii="楷体" w:hAnsi="楷体" w:eastAsia="楷体" w:cs="楷体"/>
                <w:kern w:val="0"/>
                <w:sz w:val="24"/>
                <w:szCs w:val="24"/>
                <w:lang w:val="en-US" w:eastAsia="zh-CN" w:bidi="ar-SA"/>
              </w:rPr>
            </w:pPr>
            <w:r>
              <w:rPr>
                <w:rFonts w:hint="eastAsia" w:ascii="楷体" w:hAnsi="楷体" w:eastAsia="楷体" w:cs="楷体"/>
                <w:kern w:val="0"/>
                <w:sz w:val="24"/>
                <w:szCs w:val="24"/>
                <w:lang w:val="en-US" w:eastAsia="zh-CN" w:bidi="ar-SA"/>
              </w:rPr>
              <w:t>客户赎回时若持有份额的净值增长率在扣除托管费、销售服务费、投资管理费以及运作产品所必须缴纳的税费后超过年化2.80%，管理人将在赎回时对超出部分收取30%超额业绩报酬。</w:t>
            </w:r>
          </w:p>
        </w:tc>
      </w:tr>
    </w:tbl>
    <w:p>
      <w:pPr>
        <w:pStyle w:val="11"/>
        <w:keepNext w:val="0"/>
        <w:keepLines w:val="0"/>
        <w:pageBreakBefore w:val="0"/>
        <w:wordWrap/>
        <w:topLinePunct w:val="0"/>
        <w:autoSpaceDE/>
        <w:autoSpaceDN/>
        <w:bidi w:val="0"/>
        <w:snapToGrid/>
        <w:spacing w:before="0" w:beforeAutospacing="0" w:after="0" w:afterAutospacing="0" w:line="480" w:lineRule="auto"/>
        <w:ind w:firstLine="560" w:firstLineChars="200"/>
        <w:textAlignment w:val="auto"/>
        <w:rPr>
          <w:rFonts w:hint="eastAsia" w:ascii="楷体" w:hAnsi="楷体" w:eastAsia="楷体" w:cs="Times New Roman"/>
          <w:sz w:val="28"/>
          <w:szCs w:val="28"/>
          <w:lang w:val="en-US" w:eastAsia="zh-CN"/>
        </w:rPr>
      </w:pPr>
      <w:r>
        <w:rPr>
          <w:rFonts w:hint="eastAsia" w:ascii="楷体" w:hAnsi="楷体" w:eastAsia="楷体" w:cs="Times New Roman"/>
          <w:sz w:val="28"/>
          <w:szCs w:val="28"/>
          <w:lang w:val="en-US" w:eastAsia="zh-CN"/>
        </w:rPr>
        <w:t>2026年2月3日及以后确认的份额适用调整后的业绩比较基准和超额报酬计提基准；2026年2月3日前已确认的份额，适用确认时原有的业绩比较基准和超额报酬计提基准。</w:t>
      </w:r>
    </w:p>
    <w:p>
      <w:pPr>
        <w:pStyle w:val="11"/>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240" w:lineRule="auto"/>
        <w:ind w:firstLine="562" w:firstLineChars="200"/>
        <w:textAlignment w:val="auto"/>
        <w:outlineLvl w:val="9"/>
        <w:rPr>
          <w:rFonts w:hint="eastAsia" w:ascii="楷体" w:hAnsi="楷体" w:eastAsia="楷体" w:cs="Times New Roman"/>
          <w:b/>
          <w:bCs/>
          <w:sz w:val="28"/>
          <w:szCs w:val="28"/>
          <w:lang w:val="en-US" w:eastAsia="zh-CN"/>
        </w:rPr>
      </w:pPr>
      <w:r>
        <w:rPr>
          <w:rFonts w:hint="eastAsia" w:ascii="楷体" w:hAnsi="楷体" w:eastAsia="楷体" w:cs="Times New Roman"/>
          <w:b/>
          <w:bCs/>
          <w:sz w:val="28"/>
          <w:szCs w:val="28"/>
          <w:lang w:val="en-US" w:eastAsia="zh-CN"/>
        </w:rPr>
        <w:t>调整M份额购买起点/追加金额</w:t>
      </w:r>
    </w:p>
    <w:tbl>
      <w:tblPr>
        <w:tblStyle w:val="1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33"/>
        <w:gridCol w:w="1028"/>
        <w:gridCol w:w="2678"/>
        <w:gridCol w:w="26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1295" w:type="pct"/>
            <w:noWrap w:val="0"/>
            <w:vAlign w:val="center"/>
          </w:tcPr>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0" w:lineRule="atLeast"/>
              <w:jc w:val="center"/>
              <w:rPr>
                <w:rFonts w:hint="default" w:ascii="楷体" w:hAnsi="楷体" w:eastAsia="楷体" w:cs="Times New Roman"/>
                <w:b/>
                <w:bCs/>
                <w:sz w:val="22"/>
                <w:szCs w:val="22"/>
                <w:vertAlign w:val="baseline"/>
                <w:lang w:val="en-US" w:eastAsia="zh-CN"/>
              </w:rPr>
            </w:pPr>
            <w:r>
              <w:rPr>
                <w:rFonts w:hint="eastAsia" w:ascii="楷体" w:hAnsi="楷体" w:eastAsia="楷体" w:cs="Times New Roman"/>
                <w:b/>
                <w:bCs/>
                <w:sz w:val="22"/>
                <w:szCs w:val="22"/>
                <w:lang w:val="en-US" w:eastAsia="zh-CN"/>
              </w:rPr>
              <w:t>销售名称</w:t>
            </w:r>
          </w:p>
        </w:tc>
        <w:tc>
          <w:tcPr>
            <w:tcW w:w="596" w:type="pct"/>
            <w:noWrap w:val="0"/>
            <w:vAlign w:val="center"/>
          </w:tcPr>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0" w:lineRule="atLeast"/>
              <w:jc w:val="center"/>
              <w:rPr>
                <w:rFonts w:hint="eastAsia" w:ascii="楷体" w:hAnsi="楷体" w:eastAsia="楷体" w:cs="Times New Roman"/>
                <w:b/>
                <w:bCs/>
                <w:sz w:val="22"/>
                <w:szCs w:val="22"/>
              </w:rPr>
            </w:pPr>
            <w:r>
              <w:rPr>
                <w:rFonts w:hint="eastAsia" w:ascii="楷体" w:hAnsi="楷体" w:eastAsia="楷体" w:cs="Times New Roman"/>
                <w:b/>
                <w:bCs/>
                <w:sz w:val="22"/>
                <w:szCs w:val="22"/>
              </w:rPr>
              <w:t>销售</w:t>
            </w:r>
          </w:p>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0" w:lineRule="atLeast"/>
              <w:jc w:val="center"/>
              <w:rPr>
                <w:rFonts w:hint="default" w:ascii="楷体" w:hAnsi="楷体" w:eastAsia="楷体" w:cs="Times New Roman"/>
                <w:b/>
                <w:bCs/>
                <w:sz w:val="22"/>
                <w:szCs w:val="22"/>
                <w:vertAlign w:val="baseline"/>
                <w:lang w:val="en-US" w:eastAsia="zh-CN"/>
              </w:rPr>
            </w:pPr>
            <w:r>
              <w:rPr>
                <w:rFonts w:hint="eastAsia" w:ascii="楷体" w:hAnsi="楷体" w:eastAsia="楷体" w:cs="Times New Roman"/>
                <w:b/>
                <w:bCs/>
                <w:sz w:val="22"/>
                <w:szCs w:val="22"/>
              </w:rPr>
              <w:t>代码</w:t>
            </w:r>
          </w:p>
        </w:tc>
        <w:tc>
          <w:tcPr>
            <w:tcW w:w="1553" w:type="pct"/>
            <w:noWrap w:val="0"/>
            <w:vAlign w:val="center"/>
          </w:tcPr>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0" w:lineRule="atLeast"/>
              <w:jc w:val="center"/>
              <w:rPr>
                <w:rFonts w:hint="eastAsia" w:ascii="楷体" w:hAnsi="楷体" w:eastAsia="楷体" w:cs="Times New Roman"/>
                <w:b/>
                <w:bCs/>
                <w:sz w:val="22"/>
                <w:szCs w:val="22"/>
                <w:vertAlign w:val="baseline"/>
                <w:lang w:val="en-US" w:eastAsia="zh-CN"/>
              </w:rPr>
            </w:pPr>
            <w:r>
              <w:rPr>
                <w:rFonts w:hint="eastAsia" w:ascii="楷体" w:hAnsi="楷体" w:eastAsia="楷体" w:cs="Times New Roman"/>
                <w:b/>
                <w:bCs/>
                <w:sz w:val="22"/>
                <w:szCs w:val="22"/>
                <w:vertAlign w:val="baseline"/>
                <w:lang w:val="en-US" w:eastAsia="zh-CN"/>
              </w:rPr>
              <w:t>购买起点/追加金额</w:t>
            </w:r>
          </w:p>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0" w:lineRule="atLeast"/>
              <w:jc w:val="center"/>
              <w:rPr>
                <w:rFonts w:hint="default" w:ascii="楷体" w:hAnsi="楷体" w:eastAsia="楷体" w:cs="Times New Roman"/>
                <w:b/>
                <w:bCs/>
                <w:sz w:val="22"/>
                <w:szCs w:val="22"/>
                <w:vertAlign w:val="baseline"/>
                <w:lang w:val="en-US" w:eastAsia="zh-CN"/>
              </w:rPr>
            </w:pPr>
            <w:r>
              <w:rPr>
                <w:rFonts w:hint="eastAsia" w:ascii="楷体" w:hAnsi="楷体" w:eastAsia="楷体" w:cs="Times New Roman"/>
                <w:b/>
                <w:bCs/>
                <w:sz w:val="22"/>
                <w:szCs w:val="22"/>
                <w:lang w:val="en-US" w:eastAsia="zh-CN"/>
              </w:rPr>
              <w:t>（调整前）</w:t>
            </w:r>
          </w:p>
        </w:tc>
        <w:tc>
          <w:tcPr>
            <w:tcW w:w="1554" w:type="pct"/>
            <w:noWrap w:val="0"/>
            <w:vAlign w:val="center"/>
          </w:tcPr>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0" w:lineRule="atLeast"/>
              <w:jc w:val="center"/>
              <w:rPr>
                <w:rFonts w:hint="eastAsia" w:ascii="楷体" w:hAnsi="楷体" w:eastAsia="楷体" w:cs="Times New Roman"/>
                <w:b/>
                <w:bCs/>
                <w:sz w:val="22"/>
                <w:szCs w:val="22"/>
                <w:vertAlign w:val="baseline"/>
                <w:lang w:val="en-US" w:eastAsia="zh-CN"/>
              </w:rPr>
            </w:pPr>
            <w:r>
              <w:rPr>
                <w:rFonts w:hint="eastAsia" w:ascii="楷体" w:hAnsi="楷体" w:eastAsia="楷体" w:cs="Times New Roman"/>
                <w:b/>
                <w:bCs/>
                <w:sz w:val="22"/>
                <w:szCs w:val="22"/>
                <w:vertAlign w:val="baseline"/>
                <w:lang w:val="en-US" w:eastAsia="zh-CN"/>
              </w:rPr>
              <w:t>购买起点/追加金额</w:t>
            </w:r>
          </w:p>
          <w:p>
            <w:pPr>
              <w:pStyle w:val="11"/>
              <w:keepNext w:val="0"/>
              <w:keepLines w:val="0"/>
              <w:pageBreakBefore w:val="0"/>
              <w:widowControl/>
              <w:kinsoku/>
              <w:wordWrap/>
              <w:overflowPunct/>
              <w:topLinePunct w:val="0"/>
              <w:autoSpaceDE/>
              <w:autoSpaceDN/>
              <w:bidi w:val="0"/>
              <w:adjustRightInd/>
              <w:snapToGrid/>
              <w:spacing w:before="0" w:beforeAutospacing="0" w:after="0" w:afterAutospacing="0" w:line="0" w:lineRule="atLeast"/>
              <w:jc w:val="center"/>
              <w:rPr>
                <w:rFonts w:hint="eastAsia" w:ascii="楷体" w:hAnsi="楷体" w:eastAsia="楷体" w:cs="Times New Roman"/>
                <w:b/>
                <w:bCs/>
                <w:sz w:val="22"/>
                <w:szCs w:val="22"/>
                <w:lang w:val="en-US" w:eastAsia="zh-CN"/>
              </w:rPr>
            </w:pPr>
            <w:r>
              <w:rPr>
                <w:rFonts w:hint="eastAsia" w:ascii="楷体" w:hAnsi="楷体" w:eastAsia="楷体" w:cs="Times New Roman"/>
                <w:b/>
                <w:bCs/>
                <w:sz w:val="22"/>
                <w:szCs w:val="22"/>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 w:hRule="atLeast"/>
        </w:trPr>
        <w:tc>
          <w:tcPr>
            <w:tcW w:w="1295"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kern w:val="0"/>
                <w:sz w:val="24"/>
                <w:szCs w:val="24"/>
                <w:u w:val="none"/>
                <w:lang w:val="en-US" w:eastAsia="zh-CN" w:bidi="ar"/>
              </w:rPr>
            </w:pPr>
            <w:r>
              <w:rPr>
                <w:rFonts w:hint="eastAsia" w:ascii="楷体" w:hAnsi="楷体" w:eastAsia="楷体" w:cs="楷体"/>
                <w:i w:val="0"/>
                <w:iCs w:val="0"/>
                <w:color w:val="000000"/>
                <w:kern w:val="0"/>
                <w:sz w:val="24"/>
                <w:szCs w:val="24"/>
                <w:u w:val="none"/>
                <w:lang w:val="en-US" w:eastAsia="zh-CN" w:bidi="ar"/>
              </w:rPr>
              <w:t>苏银理财恒源最短持有90天M</w:t>
            </w:r>
          </w:p>
        </w:tc>
        <w:tc>
          <w:tcPr>
            <w:tcW w:w="596"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color w:val="000000"/>
                <w:kern w:val="0"/>
                <w:sz w:val="32"/>
                <w:szCs w:val="32"/>
                <w:u w:val="none"/>
                <w:lang w:val="en-US" w:eastAsia="zh-CN" w:bidi="ar"/>
              </w:rPr>
            </w:pPr>
            <w:r>
              <w:rPr>
                <w:rFonts w:hint="eastAsia" w:ascii="楷体" w:hAnsi="楷体" w:eastAsia="楷体" w:cs="楷体"/>
                <w:i w:val="0"/>
                <w:iCs w:val="0"/>
                <w:color w:val="000000"/>
                <w:kern w:val="0"/>
                <w:sz w:val="24"/>
                <w:szCs w:val="24"/>
                <w:u w:val="none"/>
                <w:lang w:val="en-US" w:eastAsia="zh-CN" w:bidi="ar"/>
              </w:rPr>
              <w:t>J07882</w:t>
            </w:r>
          </w:p>
        </w:tc>
        <w:tc>
          <w:tcPr>
            <w:tcW w:w="1553"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1元/1元的整数倍</w:t>
            </w:r>
          </w:p>
        </w:tc>
        <w:tc>
          <w:tcPr>
            <w:tcW w:w="1554" w:type="pct"/>
            <w:noWrap w:val="0"/>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color w:val="000000"/>
                <w:kern w:val="0"/>
                <w:sz w:val="24"/>
                <w:szCs w:val="24"/>
                <w:u w:val="none"/>
                <w:lang w:val="en-US" w:eastAsia="zh-CN" w:bidi="ar"/>
              </w:rPr>
            </w:pPr>
            <w:r>
              <w:rPr>
                <w:rFonts w:hint="eastAsia" w:ascii="楷体" w:hAnsi="楷体" w:eastAsia="楷体" w:cs="楷体"/>
                <w:i w:val="0"/>
                <w:color w:val="000000"/>
                <w:kern w:val="0"/>
                <w:sz w:val="24"/>
                <w:szCs w:val="24"/>
                <w:u w:val="none"/>
                <w:lang w:val="en-US" w:eastAsia="zh-CN" w:bidi="ar"/>
              </w:rPr>
              <w:t>1万元/1万元的整数倍</w:t>
            </w:r>
          </w:p>
        </w:tc>
      </w:tr>
    </w:tbl>
    <w:p>
      <w:pPr>
        <w:pStyle w:val="11"/>
        <w:keepNext w:val="0"/>
        <w:keepLines w:val="0"/>
        <w:pageBreakBefore w:val="0"/>
        <w:wordWrap/>
        <w:topLinePunct w:val="0"/>
        <w:autoSpaceDE/>
        <w:autoSpaceDN/>
        <w:bidi w:val="0"/>
        <w:snapToGrid/>
        <w:spacing w:before="0" w:beforeAutospacing="0" w:after="0" w:afterAutospacing="0" w:line="480" w:lineRule="auto"/>
        <w:ind w:firstLine="560" w:firstLineChars="200"/>
        <w:textAlignment w:val="auto"/>
        <w:rPr>
          <w:rFonts w:hint="eastAsia" w:ascii="楷体" w:hAnsi="楷体" w:eastAsia="楷体" w:cs="Times New Roman"/>
          <w:sz w:val="28"/>
          <w:szCs w:val="28"/>
        </w:rPr>
      </w:pPr>
      <w:r>
        <w:rPr>
          <w:rFonts w:hint="eastAsia" w:ascii="楷体" w:hAnsi="楷体" w:eastAsia="楷体" w:cs="Times New Roman"/>
          <w:sz w:val="28"/>
          <w:szCs w:val="28"/>
        </w:rPr>
        <w:t>特此</w:t>
      </w:r>
      <w:r>
        <w:rPr>
          <w:rFonts w:hint="eastAsia" w:ascii="楷体" w:hAnsi="楷体" w:eastAsia="楷体" w:cs="Times New Roman"/>
          <w:sz w:val="28"/>
          <w:szCs w:val="28"/>
          <w:lang w:val="en-US" w:eastAsia="zh-CN"/>
        </w:rPr>
        <w:t>公</w:t>
      </w:r>
      <w:r>
        <w:rPr>
          <w:rFonts w:hint="eastAsia" w:ascii="楷体" w:hAnsi="楷体" w:eastAsia="楷体" w:cs="Times New Roman"/>
          <w:sz w:val="28"/>
          <w:szCs w:val="28"/>
        </w:rPr>
        <w:t>告。</w:t>
      </w:r>
    </w:p>
    <w:p>
      <w:pPr>
        <w:pStyle w:val="11"/>
        <w:keepNext w:val="0"/>
        <w:keepLines w:val="0"/>
        <w:pageBreakBefore w:val="0"/>
        <w:wordWrap/>
        <w:topLinePunct w:val="0"/>
        <w:autoSpaceDE/>
        <w:autoSpaceDN/>
        <w:bidi w:val="0"/>
        <w:snapToGrid/>
        <w:spacing w:before="0" w:beforeAutospacing="0" w:after="0" w:afterAutospacing="0" w:line="480" w:lineRule="auto"/>
        <w:ind w:firstLine="560" w:firstLineChars="200"/>
        <w:textAlignment w:val="auto"/>
        <w:rPr>
          <w:rFonts w:hint="eastAsia" w:ascii="楷体" w:hAnsi="楷体" w:eastAsia="楷体" w:cs="Times New Roman"/>
          <w:sz w:val="28"/>
          <w:szCs w:val="28"/>
        </w:rPr>
      </w:pPr>
      <w:r>
        <w:rPr>
          <w:rFonts w:hint="eastAsia" w:ascii="楷体" w:hAnsi="楷体" w:eastAsia="楷体" w:cs="Times New Roman"/>
          <w:sz w:val="28"/>
          <w:szCs w:val="28"/>
        </w:rPr>
        <w:t>感谢您投资苏银</w:t>
      </w:r>
      <w:bookmarkStart w:id="0" w:name="_GoBack"/>
      <w:bookmarkEnd w:id="0"/>
      <w:r>
        <w:rPr>
          <w:rFonts w:hint="eastAsia" w:ascii="楷体" w:hAnsi="楷体" w:eastAsia="楷体" w:cs="Times New Roman"/>
          <w:sz w:val="28"/>
          <w:szCs w:val="28"/>
        </w:rPr>
        <w:t>理财本期理财产品，敬请继续关注我司近期推出的其他理财产品。</w:t>
      </w:r>
    </w:p>
    <w:p>
      <w:pPr>
        <w:keepNext w:val="0"/>
        <w:keepLines w:val="0"/>
        <w:pageBreakBefore w:val="0"/>
        <w:wordWrap/>
        <w:topLinePunct w:val="0"/>
        <w:autoSpaceDE/>
        <w:autoSpaceDN/>
        <w:bidi w:val="0"/>
        <w:snapToGrid/>
        <w:spacing w:line="520" w:lineRule="exact"/>
        <w:jc w:val="right"/>
        <w:textAlignment w:val="auto"/>
        <w:rPr>
          <w:rFonts w:hint="eastAsia" w:ascii="楷体" w:hAnsi="楷体" w:eastAsia="楷体"/>
          <w:kern w:val="0"/>
          <w:sz w:val="28"/>
          <w:szCs w:val="28"/>
        </w:rPr>
      </w:pPr>
      <w:r>
        <w:rPr>
          <w:rFonts w:hint="eastAsia" w:ascii="楷体" w:hAnsi="楷体" w:eastAsia="楷体"/>
          <w:kern w:val="0"/>
          <w:sz w:val="28"/>
          <w:szCs w:val="28"/>
        </w:rPr>
        <w:t>苏银理财有限责任公司</w:t>
      </w:r>
    </w:p>
    <w:p>
      <w:pPr>
        <w:keepNext w:val="0"/>
        <w:keepLines w:val="0"/>
        <w:pageBreakBefore w:val="0"/>
        <w:wordWrap/>
        <w:topLinePunct w:val="0"/>
        <w:autoSpaceDE/>
        <w:autoSpaceDN/>
        <w:bidi w:val="0"/>
        <w:snapToGrid/>
        <w:spacing w:line="520" w:lineRule="exact"/>
        <w:jc w:val="right"/>
        <w:textAlignment w:val="auto"/>
        <w:rPr>
          <w:rFonts w:hint="eastAsia" w:ascii="楷体" w:hAnsi="楷体" w:eastAsia="楷体"/>
          <w:kern w:val="0"/>
          <w:sz w:val="24"/>
          <w:szCs w:val="24"/>
        </w:rPr>
      </w:pPr>
      <w:r>
        <w:rPr>
          <w:rFonts w:ascii="楷体" w:hAnsi="楷体" w:eastAsia="楷体"/>
          <w:kern w:val="0"/>
          <w:sz w:val="28"/>
          <w:szCs w:val="28"/>
        </w:rPr>
        <w:t>202</w:t>
      </w:r>
      <w:r>
        <w:rPr>
          <w:rFonts w:hint="eastAsia" w:ascii="楷体" w:hAnsi="楷体" w:eastAsia="楷体"/>
          <w:kern w:val="0"/>
          <w:sz w:val="28"/>
          <w:szCs w:val="28"/>
          <w:lang w:val="en-US" w:eastAsia="zh-CN"/>
        </w:rPr>
        <w:t>6</w:t>
      </w:r>
      <w:r>
        <w:rPr>
          <w:rFonts w:hint="eastAsia" w:ascii="楷体" w:hAnsi="楷体" w:eastAsia="楷体"/>
          <w:kern w:val="0"/>
          <w:sz w:val="28"/>
          <w:szCs w:val="28"/>
        </w:rPr>
        <w:t>年</w:t>
      </w:r>
      <w:r>
        <w:rPr>
          <w:rFonts w:hint="eastAsia" w:ascii="楷体" w:hAnsi="楷体" w:eastAsia="楷体"/>
          <w:kern w:val="0"/>
          <w:sz w:val="28"/>
          <w:szCs w:val="28"/>
          <w:lang w:val="en-US" w:eastAsia="zh-CN"/>
        </w:rPr>
        <w:t>1</w:t>
      </w:r>
      <w:r>
        <w:rPr>
          <w:rFonts w:hint="eastAsia" w:ascii="楷体" w:hAnsi="楷体" w:eastAsia="楷体"/>
          <w:kern w:val="0"/>
          <w:sz w:val="28"/>
          <w:szCs w:val="28"/>
        </w:rPr>
        <w:t>月</w:t>
      </w:r>
      <w:r>
        <w:rPr>
          <w:rFonts w:hint="eastAsia" w:ascii="楷体" w:hAnsi="楷体" w:eastAsia="楷体"/>
          <w:kern w:val="0"/>
          <w:sz w:val="28"/>
          <w:szCs w:val="28"/>
          <w:lang w:val="en-US" w:eastAsia="zh-CN"/>
        </w:rPr>
        <w:t>30</w:t>
      </w:r>
      <w:r>
        <w:rPr>
          <w:rFonts w:hint="eastAsia" w:ascii="楷体" w:hAnsi="楷体" w:eastAsia="楷体"/>
          <w:kern w:val="0"/>
          <w:sz w:val="28"/>
          <w:szCs w:val="28"/>
        </w:rPr>
        <w:t>日</w:t>
      </w:r>
    </w:p>
    <w:p>
      <w:pPr>
        <w:keepNext w:val="0"/>
        <w:keepLines w:val="0"/>
        <w:pageBreakBefore w:val="0"/>
        <w:wordWrap/>
        <w:topLinePunct w:val="0"/>
        <w:autoSpaceDE/>
        <w:autoSpaceDN/>
        <w:bidi w:val="0"/>
        <w:snapToGrid/>
        <w:spacing w:line="520" w:lineRule="exact"/>
        <w:textAlignment w:val="auto"/>
        <w:rPr>
          <w:rFonts w:hint="eastAsia"/>
        </w:rPr>
      </w:pPr>
    </w:p>
    <w:p>
      <w:pPr>
        <w:keepNext w:val="0"/>
        <w:keepLines w:val="0"/>
        <w:pageBreakBefore w:val="0"/>
        <w:wordWrap/>
        <w:topLinePunct w:val="0"/>
        <w:autoSpaceDE/>
        <w:autoSpaceDN/>
        <w:bidi w:val="0"/>
        <w:snapToGrid/>
        <w:spacing w:line="520" w:lineRule="exact"/>
        <w:textAlignment w:val="auto"/>
        <w:rPr>
          <w:rFonts w:hint="eastAsia"/>
        </w:rPr>
      </w:pPr>
    </w:p>
    <w:p>
      <w:pPr>
        <w:keepNext w:val="0"/>
        <w:keepLines w:val="0"/>
        <w:pageBreakBefore w:val="0"/>
        <w:wordWrap/>
        <w:topLinePunct w:val="0"/>
        <w:autoSpaceDE/>
        <w:autoSpaceDN/>
        <w:bidi w:val="0"/>
        <w:snapToGrid/>
        <w:spacing w:line="520" w:lineRule="exact"/>
        <w:textAlignment w:val="auto"/>
        <w:rPr>
          <w:rFonts w:hint="eastAsia" w:ascii="楷体" w:hAnsi="楷体" w:eastAsia="楷体" w:cs="楷体"/>
        </w:rPr>
      </w:pPr>
      <w:r>
        <w:rPr>
          <w:rFonts w:hint="eastAsia" w:ascii="楷体" w:hAnsi="楷体" w:eastAsia="楷体" w:cs="楷体"/>
        </w:rPr>
        <w:t>备注：本次披露内容解释权归苏银理财所有，不构成任何形式的法律要约或承诺。</w:t>
      </w:r>
    </w:p>
    <w:p>
      <w:pPr>
        <w:keepNext w:val="0"/>
        <w:keepLines w:val="0"/>
        <w:pageBreakBefore w:val="0"/>
        <w:wordWrap/>
        <w:topLinePunct w:val="0"/>
        <w:autoSpaceDE/>
        <w:autoSpaceDN/>
        <w:bidi w:val="0"/>
        <w:snapToGrid/>
        <w:spacing w:line="520" w:lineRule="exact"/>
        <w:textAlignment w:val="auto"/>
      </w:pP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187BA5"/>
    <w:multiLevelType w:val="singleLevel"/>
    <w:tmpl w:val="43187BA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3BA8"/>
    <w:rsid w:val="000247F9"/>
    <w:rsid w:val="00024C7F"/>
    <w:rsid w:val="000263ED"/>
    <w:rsid w:val="00027E61"/>
    <w:rsid w:val="00027F48"/>
    <w:rsid w:val="0003072E"/>
    <w:rsid w:val="00030D69"/>
    <w:rsid w:val="00031806"/>
    <w:rsid w:val="00031F80"/>
    <w:rsid w:val="00034890"/>
    <w:rsid w:val="000375C2"/>
    <w:rsid w:val="000405B1"/>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0563"/>
    <w:rsid w:val="00071418"/>
    <w:rsid w:val="0007158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B0078"/>
    <w:rsid w:val="000B0690"/>
    <w:rsid w:val="000B0E85"/>
    <w:rsid w:val="000B382A"/>
    <w:rsid w:val="000B3B58"/>
    <w:rsid w:val="000B3EFD"/>
    <w:rsid w:val="000B659B"/>
    <w:rsid w:val="000B6E9F"/>
    <w:rsid w:val="000B7D78"/>
    <w:rsid w:val="000C3DB1"/>
    <w:rsid w:val="000C54ED"/>
    <w:rsid w:val="000C5C02"/>
    <w:rsid w:val="000C6143"/>
    <w:rsid w:val="000C7382"/>
    <w:rsid w:val="000D35BD"/>
    <w:rsid w:val="000D71CF"/>
    <w:rsid w:val="000D7225"/>
    <w:rsid w:val="000D722C"/>
    <w:rsid w:val="000E0485"/>
    <w:rsid w:val="000E1951"/>
    <w:rsid w:val="000E2E7D"/>
    <w:rsid w:val="000E34F3"/>
    <w:rsid w:val="000E4205"/>
    <w:rsid w:val="000E7579"/>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B8C"/>
    <w:rsid w:val="0012647A"/>
    <w:rsid w:val="001303B2"/>
    <w:rsid w:val="00130EED"/>
    <w:rsid w:val="00130F7B"/>
    <w:rsid w:val="00131F1B"/>
    <w:rsid w:val="0013364F"/>
    <w:rsid w:val="00133AAF"/>
    <w:rsid w:val="00133B98"/>
    <w:rsid w:val="0013472F"/>
    <w:rsid w:val="00134733"/>
    <w:rsid w:val="001359ED"/>
    <w:rsid w:val="00137395"/>
    <w:rsid w:val="00140B25"/>
    <w:rsid w:val="001450DF"/>
    <w:rsid w:val="0014734D"/>
    <w:rsid w:val="00151CC7"/>
    <w:rsid w:val="00152B36"/>
    <w:rsid w:val="00153081"/>
    <w:rsid w:val="001530B2"/>
    <w:rsid w:val="001543E7"/>
    <w:rsid w:val="00155B77"/>
    <w:rsid w:val="00160569"/>
    <w:rsid w:val="00161E2F"/>
    <w:rsid w:val="001624A3"/>
    <w:rsid w:val="001624DA"/>
    <w:rsid w:val="00162BF5"/>
    <w:rsid w:val="00165E23"/>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4E69"/>
    <w:rsid w:val="00195FF0"/>
    <w:rsid w:val="00197DD9"/>
    <w:rsid w:val="001A05F5"/>
    <w:rsid w:val="001A1C12"/>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78FF"/>
    <w:rsid w:val="001E0062"/>
    <w:rsid w:val="001E0387"/>
    <w:rsid w:val="001E223F"/>
    <w:rsid w:val="001E4374"/>
    <w:rsid w:val="001E4A82"/>
    <w:rsid w:val="001E4C0D"/>
    <w:rsid w:val="001E4E95"/>
    <w:rsid w:val="001E623C"/>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06636"/>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E45"/>
    <w:rsid w:val="002366EB"/>
    <w:rsid w:val="002379DD"/>
    <w:rsid w:val="00237FDB"/>
    <w:rsid w:val="0024053C"/>
    <w:rsid w:val="002436C1"/>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83"/>
    <w:rsid w:val="00277C1F"/>
    <w:rsid w:val="002821D7"/>
    <w:rsid w:val="00282F20"/>
    <w:rsid w:val="0029004F"/>
    <w:rsid w:val="00291B84"/>
    <w:rsid w:val="00292B19"/>
    <w:rsid w:val="00292B5E"/>
    <w:rsid w:val="002932FC"/>
    <w:rsid w:val="00294431"/>
    <w:rsid w:val="00294B49"/>
    <w:rsid w:val="00295538"/>
    <w:rsid w:val="00297034"/>
    <w:rsid w:val="002A046A"/>
    <w:rsid w:val="002A237A"/>
    <w:rsid w:val="002A23E0"/>
    <w:rsid w:val="002A2E20"/>
    <w:rsid w:val="002A32DF"/>
    <w:rsid w:val="002A6980"/>
    <w:rsid w:val="002A7DF5"/>
    <w:rsid w:val="002A7E94"/>
    <w:rsid w:val="002B0795"/>
    <w:rsid w:val="002B2620"/>
    <w:rsid w:val="002B3225"/>
    <w:rsid w:val="002B5694"/>
    <w:rsid w:val="002B6C82"/>
    <w:rsid w:val="002C021F"/>
    <w:rsid w:val="002C2056"/>
    <w:rsid w:val="002C222A"/>
    <w:rsid w:val="002C23F7"/>
    <w:rsid w:val="002C3367"/>
    <w:rsid w:val="002C7117"/>
    <w:rsid w:val="002C7CB4"/>
    <w:rsid w:val="002D0706"/>
    <w:rsid w:val="002D29FD"/>
    <w:rsid w:val="002D2AEC"/>
    <w:rsid w:val="002D2C1F"/>
    <w:rsid w:val="002D4FE3"/>
    <w:rsid w:val="002D600D"/>
    <w:rsid w:val="002E1382"/>
    <w:rsid w:val="002E6F55"/>
    <w:rsid w:val="002F0E4E"/>
    <w:rsid w:val="002F24A1"/>
    <w:rsid w:val="002F344B"/>
    <w:rsid w:val="002F41A5"/>
    <w:rsid w:val="002F709A"/>
    <w:rsid w:val="002F77A8"/>
    <w:rsid w:val="00301619"/>
    <w:rsid w:val="00301AD3"/>
    <w:rsid w:val="00301E80"/>
    <w:rsid w:val="00302755"/>
    <w:rsid w:val="00303147"/>
    <w:rsid w:val="00304D18"/>
    <w:rsid w:val="00305A15"/>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4ED6"/>
    <w:rsid w:val="003656BF"/>
    <w:rsid w:val="00366074"/>
    <w:rsid w:val="00367122"/>
    <w:rsid w:val="0037083D"/>
    <w:rsid w:val="00372402"/>
    <w:rsid w:val="003724FE"/>
    <w:rsid w:val="003726C4"/>
    <w:rsid w:val="003732C5"/>
    <w:rsid w:val="00374086"/>
    <w:rsid w:val="00375BEB"/>
    <w:rsid w:val="003800B4"/>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48E3"/>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5CDF"/>
    <w:rsid w:val="003D6081"/>
    <w:rsid w:val="003D6720"/>
    <w:rsid w:val="003D6B3F"/>
    <w:rsid w:val="003D7951"/>
    <w:rsid w:val="003E030F"/>
    <w:rsid w:val="003E1EFB"/>
    <w:rsid w:val="003E2B26"/>
    <w:rsid w:val="003E4299"/>
    <w:rsid w:val="003E6D92"/>
    <w:rsid w:val="003E70B9"/>
    <w:rsid w:val="003E7812"/>
    <w:rsid w:val="003F2032"/>
    <w:rsid w:val="003F2136"/>
    <w:rsid w:val="003F277A"/>
    <w:rsid w:val="003F29B2"/>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2D31"/>
    <w:rsid w:val="00426041"/>
    <w:rsid w:val="00426CBC"/>
    <w:rsid w:val="00427CC0"/>
    <w:rsid w:val="0043002F"/>
    <w:rsid w:val="004303B3"/>
    <w:rsid w:val="00430927"/>
    <w:rsid w:val="0043308A"/>
    <w:rsid w:val="00433113"/>
    <w:rsid w:val="00433DCD"/>
    <w:rsid w:val="00434262"/>
    <w:rsid w:val="0043673C"/>
    <w:rsid w:val="00436801"/>
    <w:rsid w:val="00437DA0"/>
    <w:rsid w:val="004412CE"/>
    <w:rsid w:val="00442603"/>
    <w:rsid w:val="00444898"/>
    <w:rsid w:val="00445E88"/>
    <w:rsid w:val="004509F6"/>
    <w:rsid w:val="00453254"/>
    <w:rsid w:val="0045366F"/>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3AC9"/>
    <w:rsid w:val="004F3E60"/>
    <w:rsid w:val="004F40EF"/>
    <w:rsid w:val="004F46F0"/>
    <w:rsid w:val="004F4F78"/>
    <w:rsid w:val="004F55EC"/>
    <w:rsid w:val="005013A2"/>
    <w:rsid w:val="005017DC"/>
    <w:rsid w:val="0050386F"/>
    <w:rsid w:val="005041D5"/>
    <w:rsid w:val="005071D2"/>
    <w:rsid w:val="00510526"/>
    <w:rsid w:val="00510823"/>
    <w:rsid w:val="0051208D"/>
    <w:rsid w:val="00515789"/>
    <w:rsid w:val="00516DA1"/>
    <w:rsid w:val="005201F1"/>
    <w:rsid w:val="00520ACC"/>
    <w:rsid w:val="00520B0B"/>
    <w:rsid w:val="005212D4"/>
    <w:rsid w:val="00522AA1"/>
    <w:rsid w:val="0052415B"/>
    <w:rsid w:val="005266CB"/>
    <w:rsid w:val="00527FBD"/>
    <w:rsid w:val="0053069A"/>
    <w:rsid w:val="005308B0"/>
    <w:rsid w:val="00533B31"/>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3D7"/>
    <w:rsid w:val="00602794"/>
    <w:rsid w:val="00604135"/>
    <w:rsid w:val="006058CB"/>
    <w:rsid w:val="0060733C"/>
    <w:rsid w:val="0061140B"/>
    <w:rsid w:val="00613453"/>
    <w:rsid w:val="0061470B"/>
    <w:rsid w:val="00616AE1"/>
    <w:rsid w:val="00617F6B"/>
    <w:rsid w:val="0062067C"/>
    <w:rsid w:val="006214AD"/>
    <w:rsid w:val="0062541F"/>
    <w:rsid w:val="00625863"/>
    <w:rsid w:val="006260E5"/>
    <w:rsid w:val="0062647B"/>
    <w:rsid w:val="00627B69"/>
    <w:rsid w:val="00631CC2"/>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38D"/>
    <w:rsid w:val="00671A6A"/>
    <w:rsid w:val="00673F0C"/>
    <w:rsid w:val="00676A38"/>
    <w:rsid w:val="00680098"/>
    <w:rsid w:val="00680957"/>
    <w:rsid w:val="00682CFC"/>
    <w:rsid w:val="00683B13"/>
    <w:rsid w:val="00686216"/>
    <w:rsid w:val="00686325"/>
    <w:rsid w:val="00686EC4"/>
    <w:rsid w:val="00687063"/>
    <w:rsid w:val="00691425"/>
    <w:rsid w:val="00695E17"/>
    <w:rsid w:val="00696763"/>
    <w:rsid w:val="00696D1D"/>
    <w:rsid w:val="0069734A"/>
    <w:rsid w:val="006A139A"/>
    <w:rsid w:val="006A1939"/>
    <w:rsid w:val="006A303A"/>
    <w:rsid w:val="006A4427"/>
    <w:rsid w:val="006A45A4"/>
    <w:rsid w:val="006A45AE"/>
    <w:rsid w:val="006A5C3E"/>
    <w:rsid w:val="006B0367"/>
    <w:rsid w:val="006B147C"/>
    <w:rsid w:val="006B1E00"/>
    <w:rsid w:val="006B202A"/>
    <w:rsid w:val="006B4802"/>
    <w:rsid w:val="006B5097"/>
    <w:rsid w:val="006B5516"/>
    <w:rsid w:val="006B5D36"/>
    <w:rsid w:val="006B5E7D"/>
    <w:rsid w:val="006B7A09"/>
    <w:rsid w:val="006C42CE"/>
    <w:rsid w:val="006C51DA"/>
    <w:rsid w:val="006C5486"/>
    <w:rsid w:val="006C592D"/>
    <w:rsid w:val="006C5D93"/>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4219"/>
    <w:rsid w:val="006F55D6"/>
    <w:rsid w:val="006F575A"/>
    <w:rsid w:val="006F79D7"/>
    <w:rsid w:val="00700A73"/>
    <w:rsid w:val="007015E9"/>
    <w:rsid w:val="00702A10"/>
    <w:rsid w:val="0070484E"/>
    <w:rsid w:val="00704ED8"/>
    <w:rsid w:val="0070601C"/>
    <w:rsid w:val="00706787"/>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0D68"/>
    <w:rsid w:val="0080100B"/>
    <w:rsid w:val="00801BBC"/>
    <w:rsid w:val="00802684"/>
    <w:rsid w:val="00804380"/>
    <w:rsid w:val="00804490"/>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A8D"/>
    <w:rsid w:val="008362EF"/>
    <w:rsid w:val="008367C0"/>
    <w:rsid w:val="00840F68"/>
    <w:rsid w:val="00843EBB"/>
    <w:rsid w:val="008443EB"/>
    <w:rsid w:val="00844E1C"/>
    <w:rsid w:val="00847A9C"/>
    <w:rsid w:val="00855674"/>
    <w:rsid w:val="0086291A"/>
    <w:rsid w:val="00862D4F"/>
    <w:rsid w:val="00871456"/>
    <w:rsid w:val="00871856"/>
    <w:rsid w:val="00872ABA"/>
    <w:rsid w:val="00872FCE"/>
    <w:rsid w:val="00874EBD"/>
    <w:rsid w:val="008761FC"/>
    <w:rsid w:val="00877D2F"/>
    <w:rsid w:val="008800C1"/>
    <w:rsid w:val="00881137"/>
    <w:rsid w:val="00882933"/>
    <w:rsid w:val="00883A75"/>
    <w:rsid w:val="00883F98"/>
    <w:rsid w:val="00884396"/>
    <w:rsid w:val="008843FC"/>
    <w:rsid w:val="008862BD"/>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7E2E"/>
    <w:rsid w:val="008B3124"/>
    <w:rsid w:val="008B5749"/>
    <w:rsid w:val="008B6744"/>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A85"/>
    <w:rsid w:val="00913E2A"/>
    <w:rsid w:val="0091468D"/>
    <w:rsid w:val="0091475E"/>
    <w:rsid w:val="009163B6"/>
    <w:rsid w:val="00916B61"/>
    <w:rsid w:val="00917ED2"/>
    <w:rsid w:val="00917F42"/>
    <w:rsid w:val="009205E3"/>
    <w:rsid w:val="009217A9"/>
    <w:rsid w:val="00922F29"/>
    <w:rsid w:val="009231E6"/>
    <w:rsid w:val="00924926"/>
    <w:rsid w:val="00924ED9"/>
    <w:rsid w:val="009277E9"/>
    <w:rsid w:val="0093042C"/>
    <w:rsid w:val="00931316"/>
    <w:rsid w:val="00933086"/>
    <w:rsid w:val="00934A0F"/>
    <w:rsid w:val="00935CA2"/>
    <w:rsid w:val="00937ED6"/>
    <w:rsid w:val="009406E7"/>
    <w:rsid w:val="00940B04"/>
    <w:rsid w:val="00944AB3"/>
    <w:rsid w:val="009465F6"/>
    <w:rsid w:val="009469A2"/>
    <w:rsid w:val="00950141"/>
    <w:rsid w:val="00950FC7"/>
    <w:rsid w:val="00951D07"/>
    <w:rsid w:val="00953FB3"/>
    <w:rsid w:val="0095455D"/>
    <w:rsid w:val="0095482D"/>
    <w:rsid w:val="009563AA"/>
    <w:rsid w:val="009623A4"/>
    <w:rsid w:val="00963229"/>
    <w:rsid w:val="0096515A"/>
    <w:rsid w:val="00965C79"/>
    <w:rsid w:val="00966601"/>
    <w:rsid w:val="00967094"/>
    <w:rsid w:val="00970079"/>
    <w:rsid w:val="009700A9"/>
    <w:rsid w:val="00970A79"/>
    <w:rsid w:val="00973C9C"/>
    <w:rsid w:val="009752BD"/>
    <w:rsid w:val="009758CF"/>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1A69"/>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0DCA"/>
    <w:rsid w:val="009F1BCB"/>
    <w:rsid w:val="009F2488"/>
    <w:rsid w:val="009F3650"/>
    <w:rsid w:val="009F6E81"/>
    <w:rsid w:val="009F7321"/>
    <w:rsid w:val="00A00194"/>
    <w:rsid w:val="00A001C6"/>
    <w:rsid w:val="00A00244"/>
    <w:rsid w:val="00A02BF2"/>
    <w:rsid w:val="00A031F9"/>
    <w:rsid w:val="00A05A0B"/>
    <w:rsid w:val="00A05E0C"/>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2F73"/>
    <w:rsid w:val="00A84413"/>
    <w:rsid w:val="00A85069"/>
    <w:rsid w:val="00A851D3"/>
    <w:rsid w:val="00A85C99"/>
    <w:rsid w:val="00A86059"/>
    <w:rsid w:val="00A8682A"/>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B7AD4"/>
    <w:rsid w:val="00AC12F5"/>
    <w:rsid w:val="00AC1749"/>
    <w:rsid w:val="00AC2A9D"/>
    <w:rsid w:val="00AC56CE"/>
    <w:rsid w:val="00AC59CF"/>
    <w:rsid w:val="00AC604F"/>
    <w:rsid w:val="00AC71B2"/>
    <w:rsid w:val="00AD2F15"/>
    <w:rsid w:val="00AD34FD"/>
    <w:rsid w:val="00AD4224"/>
    <w:rsid w:val="00AD4E75"/>
    <w:rsid w:val="00AD6DC7"/>
    <w:rsid w:val="00AD74C8"/>
    <w:rsid w:val="00AD757C"/>
    <w:rsid w:val="00AE3181"/>
    <w:rsid w:val="00AE357C"/>
    <w:rsid w:val="00AE6795"/>
    <w:rsid w:val="00AE6ED6"/>
    <w:rsid w:val="00AE7EDF"/>
    <w:rsid w:val="00AF07F9"/>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48F"/>
    <w:rsid w:val="00B35AFE"/>
    <w:rsid w:val="00B40329"/>
    <w:rsid w:val="00B40B8D"/>
    <w:rsid w:val="00B4103B"/>
    <w:rsid w:val="00B432A2"/>
    <w:rsid w:val="00B45440"/>
    <w:rsid w:val="00B53BE1"/>
    <w:rsid w:val="00B5466A"/>
    <w:rsid w:val="00B546E5"/>
    <w:rsid w:val="00B54E07"/>
    <w:rsid w:val="00B565C8"/>
    <w:rsid w:val="00B56E68"/>
    <w:rsid w:val="00B575ED"/>
    <w:rsid w:val="00B57F78"/>
    <w:rsid w:val="00B62F9E"/>
    <w:rsid w:val="00B632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CF7"/>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3E9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1BA5"/>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524"/>
    <w:rsid w:val="00CA3E46"/>
    <w:rsid w:val="00CA5475"/>
    <w:rsid w:val="00CA6FE3"/>
    <w:rsid w:val="00CB0E61"/>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4D03"/>
    <w:rsid w:val="00D174F0"/>
    <w:rsid w:val="00D17707"/>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2158"/>
    <w:rsid w:val="00D740F4"/>
    <w:rsid w:val="00D802FD"/>
    <w:rsid w:val="00D8162D"/>
    <w:rsid w:val="00D869C5"/>
    <w:rsid w:val="00D932E1"/>
    <w:rsid w:val="00D937A6"/>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121B"/>
    <w:rsid w:val="00DB6664"/>
    <w:rsid w:val="00DB73FB"/>
    <w:rsid w:val="00DB7CD4"/>
    <w:rsid w:val="00DC0DBE"/>
    <w:rsid w:val="00DC429D"/>
    <w:rsid w:val="00DC6E17"/>
    <w:rsid w:val="00DC6F8F"/>
    <w:rsid w:val="00DD26B7"/>
    <w:rsid w:val="00DD35D4"/>
    <w:rsid w:val="00DD4DCA"/>
    <w:rsid w:val="00DD5181"/>
    <w:rsid w:val="00DD5CCB"/>
    <w:rsid w:val="00DD6003"/>
    <w:rsid w:val="00DD7B1D"/>
    <w:rsid w:val="00DE1A4C"/>
    <w:rsid w:val="00DE285A"/>
    <w:rsid w:val="00DE2F3F"/>
    <w:rsid w:val="00DE4AFA"/>
    <w:rsid w:val="00DE5417"/>
    <w:rsid w:val="00DE5630"/>
    <w:rsid w:val="00DE7227"/>
    <w:rsid w:val="00DE76FC"/>
    <w:rsid w:val="00DF3789"/>
    <w:rsid w:val="00DF3F22"/>
    <w:rsid w:val="00DF4241"/>
    <w:rsid w:val="00DF45B4"/>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9E8"/>
    <w:rsid w:val="00E46BFA"/>
    <w:rsid w:val="00E47194"/>
    <w:rsid w:val="00E477BE"/>
    <w:rsid w:val="00E47B62"/>
    <w:rsid w:val="00E51517"/>
    <w:rsid w:val="00E51F74"/>
    <w:rsid w:val="00E5403A"/>
    <w:rsid w:val="00E54533"/>
    <w:rsid w:val="00E55868"/>
    <w:rsid w:val="00E60C14"/>
    <w:rsid w:val="00E61815"/>
    <w:rsid w:val="00E63C50"/>
    <w:rsid w:val="00E653EB"/>
    <w:rsid w:val="00E65D86"/>
    <w:rsid w:val="00E66967"/>
    <w:rsid w:val="00E67E1C"/>
    <w:rsid w:val="00E70E2A"/>
    <w:rsid w:val="00E72C1A"/>
    <w:rsid w:val="00E745C5"/>
    <w:rsid w:val="00E74BBE"/>
    <w:rsid w:val="00E75451"/>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7DBE"/>
    <w:rsid w:val="00F421EA"/>
    <w:rsid w:val="00F430AC"/>
    <w:rsid w:val="00F462D5"/>
    <w:rsid w:val="00F46975"/>
    <w:rsid w:val="00F477B9"/>
    <w:rsid w:val="00F51502"/>
    <w:rsid w:val="00F53604"/>
    <w:rsid w:val="00F54A39"/>
    <w:rsid w:val="00F54B2D"/>
    <w:rsid w:val="00F54BBB"/>
    <w:rsid w:val="00F55625"/>
    <w:rsid w:val="00F55FAE"/>
    <w:rsid w:val="00F60171"/>
    <w:rsid w:val="00F6086F"/>
    <w:rsid w:val="00F613FA"/>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EA0"/>
    <w:rsid w:val="00FB2144"/>
    <w:rsid w:val="00FB2DA4"/>
    <w:rsid w:val="00FB45C2"/>
    <w:rsid w:val="00FB5FCF"/>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2AC21EF"/>
    <w:rsid w:val="039520FF"/>
    <w:rsid w:val="03F65983"/>
    <w:rsid w:val="04A037F0"/>
    <w:rsid w:val="05665582"/>
    <w:rsid w:val="05C24554"/>
    <w:rsid w:val="07731EDA"/>
    <w:rsid w:val="094044EA"/>
    <w:rsid w:val="099D0555"/>
    <w:rsid w:val="09C32C91"/>
    <w:rsid w:val="0A1B5FEF"/>
    <w:rsid w:val="0BA66D62"/>
    <w:rsid w:val="0BCB5EA3"/>
    <w:rsid w:val="0C075BCC"/>
    <w:rsid w:val="0C0E3597"/>
    <w:rsid w:val="0C931F95"/>
    <w:rsid w:val="0CAD1EB9"/>
    <w:rsid w:val="0D674401"/>
    <w:rsid w:val="0DAF4280"/>
    <w:rsid w:val="0E1C2D6A"/>
    <w:rsid w:val="0E1D42BF"/>
    <w:rsid w:val="0EEC0F7D"/>
    <w:rsid w:val="0EEE740C"/>
    <w:rsid w:val="0F2B39CE"/>
    <w:rsid w:val="10E55ACF"/>
    <w:rsid w:val="12BD4B3E"/>
    <w:rsid w:val="138663A9"/>
    <w:rsid w:val="143B0521"/>
    <w:rsid w:val="15083691"/>
    <w:rsid w:val="153B77D5"/>
    <w:rsid w:val="15CF287D"/>
    <w:rsid w:val="19645E12"/>
    <w:rsid w:val="19B70088"/>
    <w:rsid w:val="19FD06CD"/>
    <w:rsid w:val="1A4E3859"/>
    <w:rsid w:val="1A86500A"/>
    <w:rsid w:val="1AE0418B"/>
    <w:rsid w:val="1D1F41B0"/>
    <w:rsid w:val="204422FA"/>
    <w:rsid w:val="20A05C98"/>
    <w:rsid w:val="230E74F1"/>
    <w:rsid w:val="23A47824"/>
    <w:rsid w:val="26CB37BE"/>
    <w:rsid w:val="274E4D1E"/>
    <w:rsid w:val="27532641"/>
    <w:rsid w:val="29400AB9"/>
    <w:rsid w:val="2A3744FF"/>
    <w:rsid w:val="2AEE2D02"/>
    <w:rsid w:val="2B26546E"/>
    <w:rsid w:val="2C012D2A"/>
    <w:rsid w:val="2D866FA3"/>
    <w:rsid w:val="2EB879E5"/>
    <w:rsid w:val="2F1E6060"/>
    <w:rsid w:val="2FD10999"/>
    <w:rsid w:val="30374942"/>
    <w:rsid w:val="3085143A"/>
    <w:rsid w:val="322E7015"/>
    <w:rsid w:val="33564463"/>
    <w:rsid w:val="34622BDD"/>
    <w:rsid w:val="364A375A"/>
    <w:rsid w:val="39A04D1C"/>
    <w:rsid w:val="3A516C8C"/>
    <w:rsid w:val="3ABF7DB8"/>
    <w:rsid w:val="3C0D5E73"/>
    <w:rsid w:val="3C676CE6"/>
    <w:rsid w:val="3CBB230F"/>
    <w:rsid w:val="3D123447"/>
    <w:rsid w:val="3F096D2E"/>
    <w:rsid w:val="41F15D6D"/>
    <w:rsid w:val="426550F9"/>
    <w:rsid w:val="427416F1"/>
    <w:rsid w:val="43A33451"/>
    <w:rsid w:val="44422A0A"/>
    <w:rsid w:val="453D7759"/>
    <w:rsid w:val="45EB52C6"/>
    <w:rsid w:val="462B0EDE"/>
    <w:rsid w:val="482B6C56"/>
    <w:rsid w:val="49443B51"/>
    <w:rsid w:val="494729C5"/>
    <w:rsid w:val="4A867329"/>
    <w:rsid w:val="4B43165C"/>
    <w:rsid w:val="4CF367EF"/>
    <w:rsid w:val="4DF83374"/>
    <w:rsid w:val="4F0048AD"/>
    <w:rsid w:val="4F40507F"/>
    <w:rsid w:val="4F587AFF"/>
    <w:rsid w:val="50B64FC6"/>
    <w:rsid w:val="527D382B"/>
    <w:rsid w:val="53D1760A"/>
    <w:rsid w:val="541E2DF9"/>
    <w:rsid w:val="55067C5E"/>
    <w:rsid w:val="55170CA3"/>
    <w:rsid w:val="554B526C"/>
    <w:rsid w:val="55B45C20"/>
    <w:rsid w:val="567F61D4"/>
    <w:rsid w:val="5BA87554"/>
    <w:rsid w:val="5C97125A"/>
    <w:rsid w:val="61823FF6"/>
    <w:rsid w:val="621B1E89"/>
    <w:rsid w:val="629B7BA9"/>
    <w:rsid w:val="63CD2A95"/>
    <w:rsid w:val="63DC5AE3"/>
    <w:rsid w:val="63F02CDE"/>
    <w:rsid w:val="64D01FCC"/>
    <w:rsid w:val="64FF4935"/>
    <w:rsid w:val="65866453"/>
    <w:rsid w:val="668B4989"/>
    <w:rsid w:val="669663D4"/>
    <w:rsid w:val="67372B5E"/>
    <w:rsid w:val="693E3352"/>
    <w:rsid w:val="69C04ABB"/>
    <w:rsid w:val="69CC397C"/>
    <w:rsid w:val="6A5A2C65"/>
    <w:rsid w:val="6ACE4D37"/>
    <w:rsid w:val="6B8241CB"/>
    <w:rsid w:val="6D297180"/>
    <w:rsid w:val="6DCD6373"/>
    <w:rsid w:val="6DD65823"/>
    <w:rsid w:val="6E0B6FB0"/>
    <w:rsid w:val="6E9762B3"/>
    <w:rsid w:val="6EBA5633"/>
    <w:rsid w:val="701C2D60"/>
    <w:rsid w:val="70A951B1"/>
    <w:rsid w:val="721674E4"/>
    <w:rsid w:val="72407585"/>
    <w:rsid w:val="72FD1467"/>
    <w:rsid w:val="735A5B70"/>
    <w:rsid w:val="7396760B"/>
    <w:rsid w:val="73BA1D06"/>
    <w:rsid w:val="74966354"/>
    <w:rsid w:val="759F2FBC"/>
    <w:rsid w:val="7643053B"/>
    <w:rsid w:val="77667C2A"/>
    <w:rsid w:val="77EC7714"/>
    <w:rsid w:val="783D5AAA"/>
    <w:rsid w:val="78FC7A20"/>
    <w:rsid w:val="79276005"/>
    <w:rsid w:val="7A3D18A8"/>
    <w:rsid w:val="7A996452"/>
    <w:rsid w:val="7B0A6242"/>
    <w:rsid w:val="7B4D1255"/>
    <w:rsid w:val="7B7E1B28"/>
    <w:rsid w:val="7C306209"/>
    <w:rsid w:val="7C5E2341"/>
    <w:rsid w:val="7D5B5F3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19"/>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0"/>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1"/>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23"/>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2"/>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标题 1 Char"/>
    <w:link w:val="3"/>
    <w:qFormat/>
    <w:uiPriority w:val="1"/>
    <w:rPr>
      <w:rFonts w:ascii="黑体" w:hAnsi="Times New Roman" w:eastAsia="黑体" w:cs="黑体"/>
      <w:b/>
      <w:bCs/>
      <w:kern w:val="0"/>
      <w:sz w:val="36"/>
      <w:szCs w:val="36"/>
    </w:rPr>
  </w:style>
  <w:style w:type="character" w:customStyle="1" w:styleId="20">
    <w:name w:val="标题 2 Char"/>
    <w:link w:val="4"/>
    <w:qFormat/>
    <w:uiPriority w:val="9"/>
    <w:rPr>
      <w:rFonts w:ascii="Cambria" w:hAnsi="Cambria" w:eastAsia="宋体" w:cs="Times New Roman"/>
      <w:b/>
      <w:bCs/>
      <w:sz w:val="32"/>
      <w:szCs w:val="32"/>
    </w:rPr>
  </w:style>
  <w:style w:type="character" w:customStyle="1" w:styleId="21">
    <w:name w:val="标题 3 Char"/>
    <w:link w:val="5"/>
    <w:qFormat/>
    <w:uiPriority w:val="1"/>
    <w:rPr>
      <w:rFonts w:ascii="宋体" w:hAnsi="Times New Roman" w:eastAsia="宋体" w:cs="宋体"/>
      <w:b/>
      <w:bCs/>
      <w:kern w:val="0"/>
      <w:szCs w:val="21"/>
    </w:rPr>
  </w:style>
  <w:style w:type="character" w:customStyle="1" w:styleId="22">
    <w:name w:val="批注文字 Char"/>
    <w:link w:val="6"/>
    <w:qFormat/>
    <w:uiPriority w:val="99"/>
    <w:rPr>
      <w:kern w:val="2"/>
      <w:sz w:val="21"/>
      <w:szCs w:val="22"/>
    </w:rPr>
  </w:style>
  <w:style w:type="character" w:customStyle="1" w:styleId="23">
    <w:name w:val="正文文本 Char"/>
    <w:link w:val="2"/>
    <w:qFormat/>
    <w:uiPriority w:val="1"/>
    <w:rPr>
      <w:rFonts w:ascii="宋体" w:hAnsi="Times New Roman" w:eastAsia="宋体" w:cs="宋体"/>
      <w:kern w:val="0"/>
      <w:szCs w:val="21"/>
    </w:rPr>
  </w:style>
  <w:style w:type="character" w:customStyle="1" w:styleId="24">
    <w:name w:val="日期 Char"/>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customStyle="1" w:styleId="29">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0">
    <w:name w:val="List Paragraph"/>
    <w:basedOn w:val="1"/>
    <w:qFormat/>
    <w:uiPriority w:val="72"/>
    <w:pPr>
      <w:ind w:firstLine="420" w:firstLineChars="200"/>
    </w:pPr>
  </w:style>
  <w:style w:type="paragraph" w:customStyle="1" w:styleId="31">
    <w:name w:val="_Style 30"/>
    <w:semiHidden/>
    <w:qFormat/>
    <w:uiPriority w:val="99"/>
    <w:rPr>
      <w:rFonts w:ascii="Times New Roman" w:hAnsi="Times New Roman" w:eastAsia="宋体" w:cs="Times New Roman"/>
      <w:kern w:val="2"/>
      <w:sz w:val="21"/>
      <w:szCs w:val="22"/>
      <w:lang w:val="en-US" w:eastAsia="zh-CN" w:bidi="ar-SA"/>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393</Words>
  <Characters>436</Characters>
  <Lines>2</Lines>
  <Paragraphs>1</Paragraphs>
  <TotalTime>5</TotalTime>
  <ScaleCrop>false</ScaleCrop>
  <LinksUpToDate>false</LinksUpToDate>
  <CharactersWithSpaces>436</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2021-11-25T11:20:00Z</dcterms:created>
  <dc:creator>JSYH</dc:creator>
  <cp:lastModifiedBy>jsyh</cp:lastModifiedBy>
  <cp:lastPrinted>2022-06-20T06:27:00Z</cp:lastPrinted>
  <dcterms:modified xsi:type="dcterms:W3CDTF">2026-01-30T02:12:51Z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561CAE7336EE4AE481743EA6D29CCF82</vt:lpwstr>
  </property>
</Properties>
</file>