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-321310</wp:posOffset>
                </wp:positionH>
                <wp:positionV relativeFrom="paragraph">
                  <wp:posOffset>-414020</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为周期型理财产品，客户芙蓉锦程·优选</w:t>
                            </w:r>
                            <w:r>
                              <w:rPr>
                                <w:rFonts w:hint="eastAsia" w:ascii="楷体" w:hAnsi="楷体" w:eastAsia="楷体" w:cs="宋体"/>
                                <w:b/>
                                <w:spacing w:val="-2"/>
                                <w:szCs w:val="21"/>
                                <w:u w:val="single"/>
                                <w:lang w:val="en-US" w:eastAsia="zh-CN"/>
                              </w:rPr>
                              <w:t>/北部湾银行专属/G/ZJ</w:t>
                            </w:r>
                            <w:r>
                              <w:rPr>
                                <w:rFonts w:hint="eastAsia" w:ascii="楷体" w:hAnsi="楷体" w:eastAsia="楷体" w:cs="宋体"/>
                                <w:b/>
                                <w:spacing w:val="-2"/>
                                <w:szCs w:val="21"/>
                                <w:u w:val="single"/>
                              </w:rPr>
                              <w:t>份额持有时间需达到周期设定的时间，系统将在周期设定时间达到时自动赎回，未达到周期设定的时间芙蓉锦程·优选</w:t>
                            </w:r>
                            <w:r>
                              <w:rPr>
                                <w:rFonts w:hint="eastAsia" w:ascii="楷体" w:hAnsi="楷体" w:eastAsia="楷体" w:cs="宋体"/>
                                <w:b/>
                                <w:spacing w:val="-2"/>
                                <w:szCs w:val="21"/>
                                <w:u w:val="single"/>
                                <w:lang w:val="en-US" w:eastAsia="zh-CN"/>
                              </w:rPr>
                              <w:t>/北部湾银行专属/G/ZJ份额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cs="宋体"/>
                                <w:b/>
                                <w:spacing w:val="-2"/>
                                <w:szCs w:val="21"/>
                                <w:u w:val="single"/>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5.3pt;margin-top:-32.6pt;height:210.7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jG4/toA&#10;AAALAQAADwAAAAAAAAABACAAAAAiAAAAZHJzL2Rvd25yZXYueG1sUEsBAhQAFAAAAAgAh07iQEza&#10;dYwdAgAAXwQAAA4AAAAAAAAAAQAgAAAAKQEAAGRycy9lMm9Eb2MueG1sUEsFBgAAAAAGAAYAWQEA&#10;ALg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为周期型理财产品，客户芙蓉锦程·优选</w:t>
                      </w:r>
                      <w:r>
                        <w:rPr>
                          <w:rFonts w:hint="eastAsia" w:ascii="楷体" w:hAnsi="楷体" w:eastAsia="楷体" w:cs="宋体"/>
                          <w:b/>
                          <w:spacing w:val="-2"/>
                          <w:szCs w:val="21"/>
                          <w:u w:val="single"/>
                          <w:lang w:val="en-US" w:eastAsia="zh-CN"/>
                        </w:rPr>
                        <w:t>/北部湾银行专属/G/ZJ</w:t>
                      </w:r>
                      <w:r>
                        <w:rPr>
                          <w:rFonts w:hint="eastAsia" w:ascii="楷体" w:hAnsi="楷体" w:eastAsia="楷体" w:cs="宋体"/>
                          <w:b/>
                          <w:spacing w:val="-2"/>
                          <w:szCs w:val="21"/>
                          <w:u w:val="single"/>
                        </w:rPr>
                        <w:t>份额持有时间需达到周期设定的时间，系统将在周期设定时间达到时自动赎回，未达到周期设定的时间芙蓉锦程·优选</w:t>
                      </w:r>
                      <w:r>
                        <w:rPr>
                          <w:rFonts w:hint="eastAsia" w:ascii="楷体" w:hAnsi="楷体" w:eastAsia="楷体" w:cs="宋体"/>
                          <w:b/>
                          <w:spacing w:val="-2"/>
                          <w:szCs w:val="21"/>
                          <w:u w:val="single"/>
                          <w:lang w:val="en-US" w:eastAsia="zh-CN"/>
                        </w:rPr>
                        <w:t>/北部湾银行专属/G/ZJ份额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cs="宋体"/>
                          <w:b/>
                          <w:spacing w:val="-2"/>
                          <w:szCs w:val="21"/>
                          <w:u w:val="single"/>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“苏银理财恒源日申季持1号”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10</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“苏银理财恒源日申季持1号”理财产品说明书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《风险揭示书》、《理财产品说明书》、《理财产品投资协议书》、《投资者权益须知》、《</w:t>
      </w:r>
      <w:r>
        <w:rPr>
          <w:rFonts w:hint="eastAsia" w:ascii="楷体" w:hAnsi="楷体" w:eastAsia="楷体" w:cs="Times New Roman"/>
          <w:lang w:eastAsia="zh-CN"/>
        </w:rPr>
        <w:t>理财产品（代理）销售协议书</w:t>
      </w:r>
      <w:r>
        <w:rPr>
          <w:rFonts w:hint="eastAsia" w:ascii="楷体" w:hAnsi="楷体" w:eastAsia="楷体" w:cs="Times New Roman"/>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ind w:firstLine="480" w:firstLineChars="200"/>
        <w:rPr>
          <w:rFonts w:hint="eastAsia" w:ascii="楷体" w:hAnsi="楷体" w:eastAsia="楷体"/>
          <w:b/>
          <w:sz w:val="32"/>
          <w:szCs w:val="32"/>
          <w:highlight w:val="none"/>
        </w:rPr>
      </w:pPr>
      <w:r>
        <w:rPr>
          <w:rFonts w:ascii="楷体" w:hAnsi="楷体" w:eastAsia="楷体" w:cs="Times New Roman"/>
        </w:rPr>
        <w:br w:type="page"/>
      </w:r>
      <w:r>
        <w:rPr>
          <w:rFonts w:hint="eastAsia" w:ascii="楷体" w:hAnsi="楷体" w:eastAsia="楷体"/>
          <w:b/>
          <w:sz w:val="32"/>
          <w:szCs w:val="32"/>
          <w:highlight w:val="none"/>
        </w:rPr>
        <w:t>“苏银理财恒源日申季持1号”理财产品风险揭示书</w:t>
      </w:r>
    </w:p>
    <w:p>
      <w:pPr>
        <w:jc w:val="center"/>
        <w:rPr>
          <w:rFonts w:hint="eastAsia" w:ascii="楷体" w:hAnsi="楷体" w:eastAsia="楷体" w:cs="宋体"/>
          <w:b/>
          <w:kern w:val="0"/>
          <w:sz w:val="32"/>
          <w:szCs w:val="32"/>
          <w:highlight w:val="none"/>
        </w:rPr>
      </w:pPr>
      <w:r>
        <w:rPr>
          <w:rFonts w:hint="eastAsia" w:ascii="楷体" w:hAnsi="楷体" w:eastAsia="楷体" w:cs="宋体"/>
          <w:b/>
          <w:kern w:val="0"/>
          <w:sz w:val="32"/>
          <w:szCs w:val="32"/>
          <w:highlight w:val="none"/>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highlight w:val="none"/>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w:t>
      </w:r>
      <w:r>
        <w:rPr>
          <w:rFonts w:hint="eastAsia" w:ascii="楷体" w:hAnsi="楷体" w:eastAsia="楷体" w:cs="Times New Roman"/>
          <w:highlight w:val="none"/>
          <w:lang w:eastAsia="zh-CN"/>
        </w:rPr>
        <w:t>（代理）销售协议</w:t>
      </w:r>
      <w:r>
        <w:rPr>
          <w:rFonts w:hint="eastAsia" w:ascii="楷体" w:hAnsi="楷体" w:eastAsia="楷体" w:cs="Times New Roman"/>
          <w:highlight w:val="none"/>
        </w:rPr>
        <w:t>书》），了解理财产品具体情况；在您购买理财产品后，请关注本理财产品的信息披露，及时获取相关信息。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苏银理财作为本理财产品管理人承诺以诚实信用、勤勉尽责的原则管理和运用理财产品资产，</w:t>
      </w:r>
      <w:r>
        <w:rPr>
          <w:rFonts w:hint="eastAsia" w:ascii="楷体" w:hAnsi="楷体" w:eastAsia="楷体" w:cs="Times New Roman"/>
          <w:b/>
          <w:highlight w:val="none"/>
        </w:rPr>
        <w:t>但不保证理财产品一定盈利，也不保证最低收益，极端情况下有可能会损失部分甚至全部本金。</w:t>
      </w:r>
      <w:r>
        <w:rPr>
          <w:rFonts w:hint="eastAsia" w:ascii="楷体" w:hAnsi="楷体" w:eastAsia="楷体" w:cs="Times New Roman"/>
          <w:highlight w:val="none"/>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highlight w:val="none"/>
        </w:rPr>
      </w:pPr>
      <w:r>
        <w:rPr>
          <w:rFonts w:hint="eastAsia" w:ascii="楷体" w:hAnsi="楷体" w:eastAsia="楷体"/>
          <w:sz w:val="28"/>
          <w:szCs w:val="28"/>
          <w:highlight w:val="none"/>
        </w:rPr>
        <w:t>风险揭示</w:t>
      </w:r>
    </w:p>
    <w:p>
      <w:pPr>
        <w:pStyle w:val="12"/>
        <w:spacing w:before="0" w:beforeAutospacing="0" w:after="0" w:afterAutospacing="0"/>
        <w:ind w:firstLine="480" w:firstLineChars="200"/>
        <w:rPr>
          <w:rFonts w:hint="eastAsia" w:ascii="楷体" w:hAnsi="楷体" w:eastAsia="楷体" w:cs="Times New Roman"/>
          <w:highlight w:val="none"/>
        </w:rPr>
      </w:pPr>
      <w:r>
        <w:rPr>
          <w:rFonts w:hint="eastAsia" w:ascii="楷体" w:hAnsi="楷体" w:eastAsia="楷体" w:cs="Times New Roman"/>
          <w:highlight w:val="none"/>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政策风险：</w:t>
      </w:r>
      <w:r>
        <w:rPr>
          <w:rFonts w:hint="eastAsia" w:ascii="楷体" w:hAnsi="楷体" w:eastAsia="楷体"/>
          <w:sz w:val="24"/>
          <w:szCs w:val="24"/>
          <w:highlight w:val="none"/>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信用风险：</w:t>
      </w:r>
      <w:r>
        <w:rPr>
          <w:rFonts w:hint="eastAsia" w:ascii="楷体" w:hAnsi="楷体" w:eastAsia="楷体"/>
          <w:sz w:val="24"/>
          <w:szCs w:val="24"/>
          <w:highlight w:val="none"/>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市场风险：</w:t>
      </w:r>
      <w:r>
        <w:rPr>
          <w:rFonts w:hint="eastAsia" w:ascii="楷体" w:hAnsi="楷体" w:eastAsia="楷体"/>
          <w:sz w:val="24"/>
          <w:szCs w:val="24"/>
          <w:highlight w:val="none"/>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highlight w:val="none"/>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管理风险：</w:t>
      </w:r>
      <w:r>
        <w:rPr>
          <w:rFonts w:hint="eastAsia" w:ascii="楷体" w:hAnsi="楷体" w:eastAsia="楷体"/>
          <w:sz w:val="24"/>
          <w:szCs w:val="24"/>
          <w:highlight w:val="none"/>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操作风险：</w:t>
      </w:r>
      <w:r>
        <w:rPr>
          <w:rFonts w:hint="eastAsia" w:ascii="楷体" w:hAnsi="楷体" w:eastAsia="楷体"/>
          <w:sz w:val="24"/>
          <w:szCs w:val="24"/>
          <w:highlight w:val="none"/>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产品不成立风险：</w:t>
      </w:r>
      <w:r>
        <w:rPr>
          <w:rFonts w:hint="eastAsia" w:ascii="楷体" w:hAnsi="楷体" w:eastAsia="楷体"/>
          <w:sz w:val="24"/>
          <w:szCs w:val="24"/>
          <w:highlight w:val="none"/>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延期兑付风险：</w:t>
      </w:r>
      <w:r>
        <w:rPr>
          <w:rFonts w:hint="eastAsia" w:ascii="楷体" w:hAnsi="楷体" w:eastAsia="楷体"/>
          <w:sz w:val="24"/>
          <w:szCs w:val="24"/>
          <w:highlight w:val="none"/>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提前终止风险：</w:t>
      </w:r>
      <w:r>
        <w:rPr>
          <w:rFonts w:hint="eastAsia" w:ascii="楷体" w:hAnsi="楷体" w:eastAsia="楷体"/>
          <w:sz w:val="24"/>
          <w:szCs w:val="24"/>
          <w:highlight w:val="none"/>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信息传递风险：</w:t>
      </w:r>
      <w:r>
        <w:rPr>
          <w:rFonts w:hint="eastAsia" w:ascii="楷体" w:hAnsi="楷体" w:eastAsia="楷体"/>
          <w:sz w:val="24"/>
          <w:szCs w:val="24"/>
          <w:highlight w:val="none"/>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税务风险：</w:t>
      </w:r>
      <w:r>
        <w:rPr>
          <w:rFonts w:hint="eastAsia" w:ascii="楷体" w:hAnsi="楷体" w:eastAsia="楷体"/>
          <w:sz w:val="24"/>
          <w:szCs w:val="24"/>
          <w:highlight w:val="none"/>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rPr>
        <w:t>不可抗力风险：</w:t>
      </w:r>
      <w:r>
        <w:rPr>
          <w:rFonts w:hint="eastAsia" w:ascii="楷体" w:hAnsi="楷体" w:eastAsia="楷体"/>
          <w:sz w:val="24"/>
          <w:szCs w:val="24"/>
          <w:highlight w:val="none"/>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0"/>
        </w:numPr>
        <w:tabs>
          <w:tab w:val="left" w:pos="742"/>
        </w:tabs>
        <w:ind w:left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0"/>
        </w:numPr>
        <w:tabs>
          <w:tab w:val="left" w:pos="742"/>
        </w:tabs>
        <w:ind w:leftChars="200"/>
        <w:rPr>
          <w:rFonts w:hint="eastAsia" w:ascii="楷体" w:hAnsi="楷体" w:eastAsia="楷体" w:cs="Times New Roman"/>
          <w:sz w:val="24"/>
          <w:szCs w:val="24"/>
          <w:highlight w:val="none"/>
        </w:rPr>
      </w:pPr>
      <w:r>
        <w:rPr>
          <w:rFonts w:hint="eastAsia" w:ascii="楷体" w:hAnsi="楷体" w:eastAsia="楷体" w:cs="Times New Roman"/>
          <w:sz w:val="24"/>
          <w:szCs w:val="24"/>
          <w:highlight w:val="none"/>
          <w:lang w:val="en-US" w:eastAsia="zh-CN"/>
        </w:rPr>
        <w:t>3.</w:t>
      </w:r>
      <w:r>
        <w:rPr>
          <w:rFonts w:hint="eastAsia" w:ascii="楷体" w:hAnsi="楷体" w:eastAsia="楷体" w:cs="Times New Roman"/>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leftChars="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0"/>
        </w:numPr>
        <w:tabs>
          <w:tab w:val="left" w:pos="742"/>
        </w:tabs>
        <w:ind w:left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4.结构性存款的特殊风险：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书前，应当仔细阅读风险揭示书、理财产品说明书、投资者权益须知、理财产品投资协议书及理财产品</w:t>
      </w:r>
      <w:r>
        <w:rPr>
          <w:rFonts w:hint="eastAsia" w:ascii="楷体" w:hAnsi="楷体" w:eastAsia="楷体"/>
          <w:b/>
          <w:highlight w:val="none"/>
          <w:u w:val="single"/>
          <w:lang w:eastAsia="zh-CN"/>
        </w:rPr>
        <w:t>（代理）销售协议</w:t>
      </w:r>
      <w:r>
        <w:rPr>
          <w:rFonts w:hint="eastAsia" w:ascii="楷体" w:hAnsi="楷体" w:eastAsia="楷体"/>
          <w:b/>
          <w:highlight w:val="none"/>
          <w:u w:val="single"/>
        </w:rPr>
        <w:t>书的全部内容，同时向销售机构了解本理财产品的其他相关信息，并自己独立作出是否认购本理财产品的决定。</w:t>
      </w:r>
    </w:p>
    <w:p>
      <w:pPr>
        <w:numPr>
          <w:ilvl w:val="0"/>
          <w:numId w:val="0"/>
        </w:numPr>
        <w:tabs>
          <w:tab w:val="left" w:pos="1092"/>
        </w:tabs>
        <w:ind w:leftChars="200"/>
        <w:rPr>
          <w:rFonts w:hint="eastAsia" w:ascii="楷体" w:hAnsi="楷体" w:eastAsia="楷体" w:cs="宋体"/>
          <w:b/>
          <w:kern w:val="0"/>
          <w:sz w:val="24"/>
          <w:szCs w:val="24"/>
          <w:highlight w:val="none"/>
          <w:u w:val="single"/>
          <w:lang w:val="en-US" w:eastAsia="zh-CN" w:bidi="ar-SA"/>
        </w:rPr>
      </w:pPr>
      <w:r>
        <w:rPr>
          <w:rFonts w:hint="eastAsia" w:ascii="楷体" w:hAnsi="楷体" w:eastAsia="楷体" w:cs="宋体"/>
          <w:b/>
          <w:kern w:val="0"/>
          <w:sz w:val="24"/>
          <w:szCs w:val="24"/>
          <w:highlight w:val="none"/>
          <w:u w:val="single"/>
          <w:lang w:val="en-US" w:eastAsia="zh-CN" w:bidi="ar-SA"/>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rPr>
        <w:t>。</w:t>
      </w:r>
      <w:r>
        <w:rPr>
          <w:rFonts w:hint="eastAsia" w:ascii="楷体" w:hAnsi="楷体" w:eastAsia="楷体"/>
          <w:b/>
          <w:sz w:val="24"/>
          <w:szCs w:val="24"/>
          <w:highlight w:val="none"/>
          <w:u w:val="single"/>
          <w:lang w:val="en-US" w:eastAsia="zh-CN"/>
        </w:rPr>
        <w:t>如本</w:t>
      </w:r>
      <w:r>
        <w:rPr>
          <w:rFonts w:hint="eastAsia" w:ascii="楷体" w:hAnsi="楷体" w:eastAsia="楷体"/>
          <w:b/>
          <w:sz w:val="24"/>
          <w:szCs w:val="24"/>
          <w:highlight w:val="none"/>
          <w:u w:val="single"/>
        </w:rPr>
        <w:t>产品通过代理销售机构渠道销售，理财产品评级以代理销售机构最终披露的评级结果为准。</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6.本理财产品的风险揭示书、理财产品说明书、投资者权益须知、理财产品投资协议书及理财产品</w:t>
      </w:r>
      <w:r>
        <w:rPr>
          <w:rFonts w:hint="eastAsia" w:ascii="楷体" w:hAnsi="楷体" w:eastAsia="楷体"/>
          <w:sz w:val="24"/>
          <w:szCs w:val="24"/>
          <w:highlight w:val="none"/>
          <w:lang w:eastAsia="zh-CN"/>
        </w:rPr>
        <w:t>（代理）销售协议</w:t>
      </w:r>
      <w:r>
        <w:rPr>
          <w:rFonts w:hint="eastAsia" w:ascii="楷体" w:hAnsi="楷体" w:eastAsia="楷体"/>
          <w:sz w:val="24"/>
          <w:szCs w:val="24"/>
          <w:highlight w:val="none"/>
        </w:rPr>
        <w:t>书为本理财产品合同不可分割的组成部分。您签署本理财产品合同并将资金委托给苏银理财运作是您真实的意思表示。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autoSpaceDE w:val="0"/>
        <w:autoSpaceDN w:val="0"/>
        <w:adjustRightInd w:val="0"/>
        <w:ind w:firstLine="424" w:firstLineChars="177"/>
        <w:jc w:val="left"/>
        <w:rPr>
          <w:rFonts w:ascii="楷体" w:hAnsi="楷体" w:eastAsia="楷体"/>
          <w:sz w:val="24"/>
          <w:szCs w:val="24"/>
          <w:highlight w:val="none"/>
        </w:rPr>
      </w:pPr>
      <w:r>
        <w:rPr>
          <w:rFonts w:hint="eastAsia" w:ascii="楷体" w:hAnsi="楷体" w:eastAsia="楷体"/>
          <w:sz w:val="24"/>
          <w:szCs w:val="24"/>
          <w:highlight w:val="none"/>
        </w:rPr>
        <w:t>7.苏银理财及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w:t>
      </w:r>
      <w:r>
        <w:rPr>
          <w:rFonts w:hint="eastAsia" w:ascii="楷体" w:hAnsi="楷体" w:eastAsia="楷体"/>
          <w:sz w:val="24"/>
          <w:szCs w:val="24"/>
          <w:highlight w:val="none"/>
        </w:rPr>
        <w:t>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hint="eastAsia"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highlight w:val="none"/>
        </w:rPr>
      </w:pPr>
      <w:r>
        <w:rPr>
          <w:rFonts w:hint="eastAsia" w:ascii="楷体" w:hAnsi="楷体" w:eastAsia="楷体"/>
          <w:b/>
          <w:highlight w:val="none"/>
        </w:rPr>
        <w:t>风险揭示方：苏银理财有限责任公司</w:t>
      </w:r>
    </w:p>
    <w:p>
      <w:pPr>
        <w:pStyle w:val="12"/>
        <w:spacing w:before="0" w:beforeAutospacing="0" w:after="0" w:afterAutospacing="0" w:line="360" w:lineRule="auto"/>
        <w:ind w:left="420"/>
        <w:jc w:val="right"/>
        <w:rPr>
          <w:rFonts w:hint="eastAsia" w:ascii="楷体" w:hAnsi="楷体" w:eastAsia="楷体"/>
          <w:b/>
          <w:highlight w:val="none"/>
        </w:rPr>
      </w:pPr>
      <w:r>
        <w:rPr>
          <w:rFonts w:ascii="楷体" w:hAnsi="楷体" w:eastAsia="楷体"/>
          <w:b/>
          <w:highlight w:val="none"/>
        </w:rPr>
        <w:br w:type="page"/>
      </w:r>
    </w:p>
    <w:p>
      <w:pPr>
        <w:pStyle w:val="12"/>
        <w:spacing w:before="0" w:beforeAutospacing="0" w:after="0" w:afterAutospacing="0" w:line="360" w:lineRule="auto"/>
        <w:jc w:val="center"/>
        <w:rPr>
          <w:rFonts w:ascii="楷体" w:hAnsi="楷体" w:eastAsia="楷体"/>
          <w:b/>
          <w:sz w:val="36"/>
          <w:szCs w:val="36"/>
          <w:highlight w:val="none"/>
        </w:rPr>
      </w:pP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hint="eastAsia" w:ascii="楷体" w:hAnsi="楷体" w:eastAsia="楷体"/>
          <w:sz w:val="24"/>
          <w:szCs w:val="24"/>
          <w:highlight w:val="none"/>
          <w:lang w:val="en-US" w:eastAsia="zh-CN"/>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ascii="楷体" w:hAnsi="楷体" w:eastAsia="楷体"/>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hint="eastAsia" w:ascii="楷体" w:hAnsi="楷体" w:eastAsia="楷体"/>
          <w:sz w:val="24"/>
          <w:szCs w:val="24"/>
        </w:rPr>
      </w:pPr>
      <w:r>
        <w:rPr>
          <w:rFonts w:hint="eastAsia" w:ascii="楷体" w:hAnsi="楷体" w:eastAsia="楷体"/>
          <w:sz w:val="24"/>
          <w:szCs w:val="24"/>
          <w:highlight w:val="none"/>
        </w:rPr>
        <w:t>年   月   日</w:t>
      </w:r>
    </w:p>
    <w:p>
      <w:pPr>
        <w:pStyle w:val="12"/>
        <w:spacing w:before="0" w:beforeAutospacing="0" w:after="0" w:afterAutospacing="0" w:line="360" w:lineRule="auto"/>
        <w:rPr>
          <w:rFonts w:hint="eastAsia" w:ascii="楷体" w:hAnsi="楷体" w:eastAsia="楷体"/>
        </w:rPr>
      </w:pPr>
    </w:p>
    <w:p>
      <w:pPr>
        <w:pStyle w:val="12"/>
        <w:spacing w:before="0" w:beforeAutospacing="0" w:after="0" w:afterAutospacing="0"/>
        <w:jc w:val="center"/>
        <w:rPr>
          <w:rFonts w:hint="eastAsia" w:ascii="楷体" w:hAnsi="楷体" w:eastAsia="楷体"/>
          <w:b/>
          <w:sz w:val="36"/>
          <w:szCs w:val="36"/>
        </w:rPr>
      </w:pPr>
      <w:r>
        <w:rPr>
          <w:rFonts w:ascii="楷体" w:hAnsi="楷体" w:eastAsia="楷体"/>
          <w:b/>
          <w:sz w:val="36"/>
          <w:szCs w:val="36"/>
        </w:rPr>
        <w:br w:type="page"/>
      </w:r>
      <w:r>
        <w:rPr>
          <w:rFonts w:hint="eastAsia" w:ascii="楷体" w:hAnsi="楷体" w:eastAsia="楷体"/>
          <w:b/>
          <w:sz w:val="36"/>
          <w:szCs w:val="36"/>
        </w:rPr>
        <w:t>“苏银理财恒源日申季持1号”理财产品说明书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1"/>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1"/>
        </w:numPr>
        <w:rPr>
          <w:rFonts w:ascii="楷体" w:hAnsi="楷体" w:eastAsia="楷体"/>
          <w:b/>
          <w:sz w:val="24"/>
          <w:szCs w:val="24"/>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1"/>
        </w:numPr>
        <w:rPr>
          <w:rFonts w:hint="eastAsia" w:ascii="楷体" w:hAnsi="楷体" w:eastAsia="楷体"/>
          <w:sz w:val="24"/>
          <w:szCs w:val="24"/>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1"/>
        </w:numPr>
        <w:rPr>
          <w:rFonts w:ascii="楷体" w:hAnsi="楷体" w:eastAsia="楷体"/>
          <w:sz w:val="24"/>
          <w:szCs w:val="24"/>
        </w:rPr>
      </w:pPr>
      <w:r>
        <w:rPr>
          <w:rFonts w:hint="eastAsia" w:ascii="楷体" w:hAnsi="楷体" w:eastAsia="楷体"/>
          <w:sz w:val="24"/>
          <w:szCs w:val="24"/>
          <w:highlight w:val="none"/>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lang w:eastAsia="zh-CN"/>
        </w:rPr>
        <w:t>）</w:t>
      </w:r>
      <w:r>
        <w:rPr>
          <w:rFonts w:hint="eastAsia" w:ascii="楷体" w:hAnsi="楷体" w:eastAsia="楷体"/>
          <w:sz w:val="24"/>
          <w:szCs w:val="24"/>
          <w:highlight w:val="none"/>
        </w:rPr>
        <w:t>、其他风险等。请仔细阅读《“苏银理财恒源日申季持1号”理财产品风险揭示书》的“风险揭示”部分。</w:t>
      </w:r>
    </w:p>
    <w:p>
      <w:pPr>
        <w:numPr>
          <w:ilvl w:val="0"/>
          <w:numId w:val="11"/>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11"/>
        </w:numPr>
        <w:rPr>
          <w:rFonts w:hint="eastAsia" w:ascii="楷体" w:hAnsi="楷体" w:eastAsia="楷体"/>
          <w:b/>
          <w:sz w:val="24"/>
          <w:szCs w:val="24"/>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1"/>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1"/>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w:t>
      </w:r>
      <w:r>
        <w:rPr>
          <w:rFonts w:hint="eastAsia" w:ascii="楷体" w:hAnsi="楷体" w:eastAsia="楷体"/>
          <w:sz w:val="24"/>
          <w:szCs w:val="24"/>
          <w:lang w:val="en-US" w:eastAsia="zh-CN"/>
        </w:rPr>
        <w:t>并</w:t>
      </w:r>
      <w:r>
        <w:rPr>
          <w:rFonts w:hint="eastAsia" w:ascii="楷体" w:hAnsi="楷体" w:eastAsia="楷体"/>
          <w:sz w:val="24"/>
          <w:szCs w:val="24"/>
          <w:highlight w:val="none"/>
        </w:rPr>
        <w:t>按</w:t>
      </w:r>
      <w:r>
        <w:rPr>
          <w:rFonts w:hint="eastAsia" w:ascii="楷体" w:hAnsi="楷体" w:eastAsia="楷体"/>
          <w:sz w:val="24"/>
          <w:szCs w:val="24"/>
          <w:highlight w:val="none"/>
          <w:lang w:val="en-US" w:eastAsia="zh-CN"/>
        </w:rPr>
        <w:t>本理财产品</w:t>
      </w:r>
      <w:r>
        <w:rPr>
          <w:rFonts w:hint="eastAsia" w:ascii="楷体" w:hAnsi="楷体" w:eastAsia="楷体"/>
          <w:sz w:val="24"/>
          <w:szCs w:val="24"/>
          <w:highlight w:val="none"/>
        </w:rPr>
        <w:t>说明书约定的信息披露方式予以披露。</w:t>
      </w:r>
    </w:p>
    <w:p>
      <w:pPr>
        <w:numPr>
          <w:ilvl w:val="0"/>
          <w:numId w:val="11"/>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11"/>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2"/>
              <w:kinsoku w:val="0"/>
              <w:overflowPunct w:val="0"/>
              <w:spacing w:before="13"/>
              <w:ind w:left="2"/>
              <w:rPr>
                <w:rFonts w:ascii="楷体" w:hAnsi="楷体" w:eastAsia="楷体" w:cs="宋体"/>
                <w:spacing w:val="-2"/>
                <w:sz w:val="21"/>
                <w:szCs w:val="21"/>
              </w:rPr>
            </w:pPr>
            <w:r>
              <w:rPr>
                <w:rFonts w:hint="eastAsia" w:ascii="楷体" w:hAnsi="楷体" w:eastAsia="楷体" w:cs="宋体"/>
                <w:spacing w:val="-2"/>
                <w:sz w:val="21"/>
                <w:szCs w:val="21"/>
              </w:rPr>
              <w:t>苏银理财恒源日申季持1号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8" w:hRule="exact"/>
          <w:jc w:val="center"/>
        </w:trPr>
        <w:tc>
          <w:tcPr>
            <w:tcW w:w="2278" w:type="dxa"/>
            <w:noWrap w:val="0"/>
            <w:vAlign w:val="center"/>
          </w:tcPr>
          <w:p>
            <w:pPr>
              <w:pStyle w:val="32"/>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2"/>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Z7003121000077</w:t>
            </w:r>
          </w:p>
          <w:p>
            <w:pPr>
              <w:pStyle w:val="32"/>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exact"/>
          <w:jc w:val="center"/>
        </w:trPr>
        <w:tc>
          <w:tcPr>
            <w:tcW w:w="2278" w:type="dxa"/>
            <w:noWrap w:val="0"/>
            <w:vAlign w:val="center"/>
          </w:tcPr>
          <w:p>
            <w:pPr>
              <w:pStyle w:val="32"/>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noWrap w:val="0"/>
            <w:vAlign w:val="center"/>
          </w:tcPr>
          <w:p>
            <w:pPr>
              <w:pStyle w:val="32"/>
              <w:kinsoku w:val="0"/>
              <w:overflowPunct w:val="0"/>
              <w:spacing w:before="12"/>
              <w:rPr>
                <w:rFonts w:hint="eastAsia" w:ascii="楷体" w:hAnsi="楷体" w:eastAsia="楷体"/>
                <w:spacing w:val="-2"/>
                <w:sz w:val="21"/>
                <w:szCs w:val="21"/>
                <w:lang w:val="en-US" w:eastAsia="zh-CN"/>
              </w:rPr>
            </w:pPr>
            <w:r>
              <w:rPr>
                <w:rFonts w:hint="eastAsia" w:ascii="楷体" w:hAnsi="楷体" w:eastAsia="楷体" w:cs="宋体"/>
                <w:spacing w:val="-2"/>
                <w:sz w:val="21"/>
                <w:szCs w:val="21"/>
                <w:lang w:eastAsia="zh-CN"/>
              </w:rPr>
              <w:t>G</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G</w:t>
            </w:r>
            <w:r>
              <w:rPr>
                <w:rFonts w:hint="eastAsia" w:ascii="楷体" w:hAnsi="楷体" w:eastAsia="楷体" w:cs="宋体"/>
                <w:spacing w:val="-2"/>
                <w:sz w:val="21"/>
                <w:szCs w:val="21"/>
              </w:rPr>
              <w:t>/</w:t>
            </w:r>
            <w:r>
              <w:rPr>
                <w:rFonts w:hint="eastAsia" w:ascii="Calibri" w:hAnsi="微软雅黑"/>
                <w:color w:val="000000"/>
                <w:kern w:val="24"/>
                <w:szCs w:val="21"/>
              </w:rPr>
              <w:t xml:space="preserve"> </w:t>
            </w:r>
            <w:r>
              <w:rPr>
                <w:rFonts w:hint="eastAsia" w:ascii="楷体" w:hAnsi="楷体" w:eastAsia="楷体"/>
                <w:spacing w:val="-2"/>
                <w:sz w:val="21"/>
                <w:szCs w:val="21"/>
              </w:rPr>
              <w:t>J0</w:t>
            </w:r>
            <w:r>
              <w:rPr>
                <w:rFonts w:hint="eastAsia" w:ascii="楷体" w:hAnsi="楷体" w:eastAsia="楷体"/>
                <w:spacing w:val="-2"/>
                <w:sz w:val="21"/>
                <w:szCs w:val="21"/>
                <w:lang w:val="en-US" w:eastAsia="zh-CN"/>
              </w:rPr>
              <w:t>2228</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rPr>
              <w:t>/J03611</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/J03830</w:t>
            </w:r>
          </w:p>
          <w:p>
            <w:pPr>
              <w:pStyle w:val="32"/>
              <w:kinsoku w:val="0"/>
              <w:overflowPunct w:val="0"/>
              <w:spacing w:before="12"/>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w:t>
            </w:r>
            <w:r>
              <w:rPr>
                <w:rFonts w:hint="eastAsia" w:ascii="楷体" w:hAnsi="楷体" w:eastAsia="楷体" w:cs="宋体"/>
                <w:spacing w:val="-2"/>
                <w:sz w:val="21"/>
                <w:szCs w:val="21"/>
              </w:rPr>
              <w:t>：苏银理财恒源日申季持1号</w:t>
            </w:r>
            <w:r>
              <w:rPr>
                <w:rFonts w:hint="eastAsia" w:ascii="楷体" w:hAnsi="楷体" w:eastAsia="楷体" w:cs="宋体"/>
                <w:spacing w:val="-2"/>
                <w:sz w:val="21"/>
                <w:szCs w:val="21"/>
                <w:lang w:val="en-US" w:eastAsia="zh-CN"/>
              </w:rPr>
              <w:t>ZJ</w:t>
            </w:r>
            <w:r>
              <w:rPr>
                <w:rFonts w:hint="eastAsia" w:ascii="楷体" w:hAnsi="楷体" w:eastAsia="楷体" w:cs="宋体"/>
                <w:spacing w:val="-2"/>
                <w:sz w:val="21"/>
                <w:szCs w:val="21"/>
              </w:rPr>
              <w:t>/</w:t>
            </w:r>
            <w:r>
              <w:rPr>
                <w:rFonts w:hint="eastAsia" w:ascii="Calibri" w:hAnsi="微软雅黑"/>
                <w:color w:val="000000"/>
                <w:kern w:val="24"/>
                <w:szCs w:val="21"/>
              </w:rPr>
              <w:t xml:space="preserve"> </w:t>
            </w:r>
            <w:r>
              <w:rPr>
                <w:rFonts w:hint="eastAsia" w:ascii="楷体" w:hAnsi="楷体" w:eastAsia="楷体"/>
                <w:spacing w:val="-2"/>
                <w:sz w:val="21"/>
                <w:szCs w:val="21"/>
              </w:rPr>
              <w:t>J07599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 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2"/>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 xml:space="preserve"> </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2"/>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2" w:hRule="exact"/>
          <w:jc w:val="center"/>
        </w:trPr>
        <w:tc>
          <w:tcPr>
            <w:tcW w:w="2278" w:type="dxa"/>
            <w:noWrap w:val="0"/>
            <w:vAlign w:val="center"/>
          </w:tcPr>
          <w:p>
            <w:pPr>
              <w:pStyle w:val="32"/>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2"/>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2"/>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2"/>
              <w:kinsoku w:val="0"/>
              <w:overflowPunct w:val="0"/>
              <w:spacing w:before="13"/>
              <w:ind w:left="18"/>
              <w:rPr>
                <w:rFonts w:ascii="楷体" w:hAnsi="楷体" w:eastAsia="楷体" w:cs="宋体"/>
                <w:spacing w:val="-2"/>
                <w:sz w:val="21"/>
                <w:szCs w:val="21"/>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2"/>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2"/>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0" w:hRule="exact"/>
          <w:jc w:val="center"/>
        </w:trPr>
        <w:tc>
          <w:tcPr>
            <w:tcW w:w="2278" w:type="dxa"/>
            <w:noWrap w:val="0"/>
            <w:vAlign w:val="center"/>
          </w:tcPr>
          <w:p>
            <w:pPr>
              <w:pStyle w:val="32"/>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G</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p>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份额面向</w:t>
            </w:r>
            <w:r>
              <w:rPr>
                <w:rFonts w:hint="eastAsia" w:ascii="楷体" w:hAnsi="楷体" w:eastAsia="楷体" w:cs="宋体"/>
                <w:spacing w:val="-2"/>
                <w:sz w:val="21"/>
                <w:szCs w:val="21"/>
              </w:rPr>
              <w:t>个人和机构投资者销售</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仅限高资产净值客户、白名单客户，具体以销售机构设置为准</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exact"/>
          <w:jc w:val="center"/>
        </w:trPr>
        <w:tc>
          <w:tcPr>
            <w:tcW w:w="2278" w:type="dxa"/>
            <w:noWrap w:val="0"/>
            <w:vAlign w:val="center"/>
          </w:tcPr>
          <w:p>
            <w:pPr>
              <w:pStyle w:val="32"/>
              <w:kinsoku w:val="0"/>
              <w:overflowPunct w:val="0"/>
              <w:spacing w:before="14"/>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募集币种</w:t>
            </w:r>
          </w:p>
        </w:tc>
        <w:tc>
          <w:tcPr>
            <w:tcW w:w="6614" w:type="dxa"/>
            <w:noWrap w:val="0"/>
            <w:vAlign w:val="center"/>
          </w:tcPr>
          <w:p>
            <w:pPr>
              <w:pStyle w:val="32"/>
              <w:kinsoku w:val="0"/>
              <w:overflowPunct w:val="0"/>
              <w:spacing w:before="14"/>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4" w:hRule="exact"/>
          <w:jc w:val="center"/>
        </w:trPr>
        <w:tc>
          <w:tcPr>
            <w:tcW w:w="2278" w:type="dxa"/>
            <w:noWrap w:val="0"/>
            <w:vAlign w:val="center"/>
          </w:tcPr>
          <w:p>
            <w:pPr>
              <w:pStyle w:val="32"/>
              <w:kinsoku w:val="0"/>
              <w:overflowPunct w:val="0"/>
              <w:spacing w:before="13"/>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计划发行规模</w:t>
            </w:r>
          </w:p>
        </w:tc>
        <w:tc>
          <w:tcPr>
            <w:tcW w:w="6614" w:type="dxa"/>
            <w:noWrap w:val="0"/>
            <w:vAlign w:val="center"/>
          </w:tcPr>
          <w:p>
            <w:pPr>
              <w:pStyle w:val="32"/>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2650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eastAsia="zh-CN"/>
              </w:rPr>
              <w:t>G</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，芙蓉锦程·优选</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ZJ</w:t>
            </w:r>
            <w:r>
              <w:rPr>
                <w:rFonts w:ascii="楷体" w:hAnsi="楷体" w:eastAsia="楷体" w:cs="宋体"/>
                <w:spacing w:val="-2"/>
                <w:sz w:val="21"/>
                <w:szCs w:val="21"/>
              </w:rPr>
              <w:t>份额</w:t>
            </w:r>
            <w:r>
              <w:rPr>
                <w:rFonts w:hint="eastAsia" w:ascii="楷体" w:hAnsi="楷体" w:eastAsia="楷体" w:cs="宋体"/>
                <w:spacing w:val="-2"/>
                <w:sz w:val="21"/>
                <w:szCs w:val="21"/>
                <w:lang w:val="en-US" w:eastAsia="zh-CN"/>
              </w:rPr>
              <w:t>100</w:t>
            </w:r>
            <w:r>
              <w:rPr>
                <w:rFonts w:ascii="楷体" w:hAnsi="楷体" w:eastAsia="楷体" w:cs="宋体"/>
                <w:spacing w:val="-2"/>
                <w:sz w:val="21"/>
                <w:szCs w:val="21"/>
              </w:rPr>
              <w:t>亿元</w:t>
            </w:r>
            <w:r>
              <w:rPr>
                <w:rFonts w:hint="eastAsia" w:ascii="楷体" w:hAnsi="楷体" w:eastAsia="楷体" w:cs="宋体"/>
                <w:spacing w:val="-2"/>
                <w:sz w:val="21"/>
                <w:szCs w:val="21"/>
              </w:rPr>
              <w:t>。</w:t>
            </w:r>
          </w:p>
          <w:p>
            <w:pPr>
              <w:pStyle w:val="32"/>
              <w:kinsoku w:val="0"/>
              <w:overflowPunct w:val="0"/>
              <w:spacing w:before="12"/>
              <w:ind w:left="3" w:leftChars="0"/>
              <w:rPr>
                <w:rFonts w:hint="eastAsia" w:ascii="楷体" w:hAnsi="楷体" w:eastAsia="楷体" w:cs="Times New Roman"/>
                <w:kern w:val="0"/>
                <w:sz w:val="24"/>
                <w:szCs w:val="21"/>
                <w:lang w:val="en-US" w:eastAsia="zh-CN" w:bidi="ar-SA"/>
              </w:rPr>
            </w:pPr>
            <w:r>
              <w:rPr>
                <w:rFonts w:hint="eastAsia" w:ascii="楷体" w:hAnsi="楷体" w:eastAsia="楷体" w:cs="宋体"/>
                <w:spacing w:val="-2"/>
                <w:sz w:val="21"/>
                <w:szCs w:val="21"/>
              </w:rPr>
              <w:t>苏银理财有权根据投资运作情况，调整存续规模。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8" w:hRule="exact"/>
          <w:jc w:val="center"/>
        </w:trPr>
        <w:tc>
          <w:tcPr>
            <w:tcW w:w="2278" w:type="dxa"/>
            <w:noWrap w:val="0"/>
            <w:vAlign w:val="center"/>
          </w:tcPr>
          <w:p>
            <w:pPr>
              <w:pStyle w:val="32"/>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p>
            <w:pPr>
              <w:jc w:val="left"/>
              <w:rPr>
                <w:rFonts w:hint="eastAsia" w:ascii="楷体" w:hAnsi="楷体" w:eastAsia="楷体"/>
                <w:szCs w:val="21"/>
                <w:lang w:val="en-US" w:eastAsia="zh-CN"/>
              </w:rPr>
            </w:pPr>
            <w:r>
              <w:rPr>
                <w:rFonts w:hint="eastAsia" w:ascii="楷体" w:hAnsi="楷体" w:eastAsia="楷体"/>
                <w:szCs w:val="21"/>
                <w:lang w:eastAsia="zh-CN"/>
              </w:rPr>
              <w:t>G</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 w:val="21"/>
                <w:szCs w:val="21"/>
                <w:lang w:eastAsia="zh-CN"/>
              </w:rPr>
              <w:t>芙蓉锦程·优选</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eastAsia="zh-CN"/>
              </w:rPr>
              <w:t>；</w:t>
            </w:r>
          </w:p>
          <w:p>
            <w:pPr>
              <w:jc w:val="left"/>
              <w:rPr>
                <w:rFonts w:hint="eastAsia" w:ascii="楷体" w:hAnsi="楷体" w:eastAsia="楷体"/>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szCs w:val="21"/>
              </w:rPr>
              <w:t>份额购买起点金额为1元，追加金额为0</w:t>
            </w:r>
            <w:r>
              <w:rPr>
                <w:rFonts w:ascii="楷体" w:hAnsi="楷体" w:eastAsia="楷体"/>
                <w:szCs w:val="21"/>
              </w:rPr>
              <w:t>.0</w:t>
            </w:r>
            <w:r>
              <w:rPr>
                <w:rFonts w:hint="eastAsia" w:ascii="楷体" w:hAnsi="楷体" w:eastAsia="楷体"/>
                <w:szCs w:val="21"/>
              </w:rPr>
              <w:t>1元的整数倍</w:t>
            </w:r>
            <w:r>
              <w:rPr>
                <w:rFonts w:hint="eastAsia" w:ascii="楷体" w:hAnsi="楷体" w:eastAsia="楷体"/>
                <w:szCs w:val="21"/>
                <w:lang w:val="en-US" w:eastAsia="zh-CN"/>
              </w:rPr>
              <w:t>;</w:t>
            </w:r>
          </w:p>
          <w:p>
            <w:pPr>
              <w:jc w:val="left"/>
              <w:rPr>
                <w:rFonts w:hint="eastAsia" w:ascii="楷体" w:hAnsi="楷体" w:eastAsia="楷体"/>
                <w:szCs w:val="21"/>
                <w:lang w:val="en-US" w:eastAsia="zh-CN"/>
              </w:rPr>
            </w:pPr>
            <w:r>
              <w:rPr>
                <w:rFonts w:hint="eastAsia" w:ascii="楷体" w:hAnsi="楷体" w:eastAsia="楷体"/>
                <w:szCs w:val="21"/>
                <w:lang w:val="en-US" w:eastAsia="zh-CN"/>
              </w:rPr>
              <w:t>ZJ</w:t>
            </w:r>
            <w:r>
              <w:rPr>
                <w:rFonts w:hint="eastAsia" w:ascii="楷体" w:hAnsi="楷体" w:eastAsia="楷体"/>
                <w:szCs w:val="21"/>
              </w:rPr>
              <w:t>份额购买起点金额为</w:t>
            </w:r>
            <w:r>
              <w:rPr>
                <w:rFonts w:hint="eastAsia" w:ascii="楷体" w:hAnsi="楷体" w:eastAsia="楷体"/>
                <w:szCs w:val="21"/>
                <w:lang w:val="en-US" w:eastAsia="zh-CN"/>
              </w:rPr>
              <w:t>50万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4" w:hRule="exact"/>
          <w:jc w:val="center"/>
        </w:trPr>
        <w:tc>
          <w:tcPr>
            <w:tcW w:w="2278" w:type="dxa"/>
            <w:noWrap w:val="0"/>
            <w:vAlign w:val="center"/>
          </w:tcPr>
          <w:p>
            <w:pPr>
              <w:pStyle w:val="32"/>
              <w:kinsoku w:val="0"/>
              <w:overflowPunct w:val="0"/>
              <w:spacing w:before="13"/>
              <w:jc w:val="both"/>
              <w:rPr>
                <w:rFonts w:hint="default" w:ascii="楷体" w:hAnsi="楷体" w:eastAsia="楷体" w:cs="宋体"/>
                <w:b/>
                <w:spacing w:val="-2"/>
                <w:sz w:val="21"/>
                <w:szCs w:val="21"/>
                <w:lang w:val="en-US" w:eastAsia="zh-CN"/>
              </w:rPr>
            </w:pPr>
            <w:r>
              <w:rPr>
                <w:rFonts w:hint="eastAsia" w:ascii="楷体" w:hAnsi="楷体" w:eastAsia="楷体" w:cs="宋体"/>
                <w:b/>
                <w:spacing w:val="-2"/>
                <w:sz w:val="21"/>
                <w:szCs w:val="21"/>
                <w:highlight w:val="none"/>
              </w:rPr>
              <w:t>份额面值</w:t>
            </w:r>
          </w:p>
        </w:tc>
        <w:tc>
          <w:tcPr>
            <w:tcW w:w="6614" w:type="dxa"/>
            <w:noWrap w:val="0"/>
            <w:vAlign w:val="center"/>
          </w:tcPr>
          <w:p>
            <w:pPr>
              <w:pStyle w:val="32"/>
              <w:kinsoku w:val="0"/>
              <w:overflowPunct w:val="0"/>
              <w:spacing w:before="12"/>
              <w:ind w:left="59" w:leftChars="0" w:right="73" w:rightChars="35"/>
              <w:jc w:val="both"/>
              <w:rPr>
                <w:rFonts w:hint="eastAsia" w:ascii="楷体" w:hAnsi="楷体" w:eastAsia="楷体"/>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exact"/>
          <w:jc w:val="center"/>
        </w:trPr>
        <w:tc>
          <w:tcPr>
            <w:tcW w:w="2278" w:type="dxa"/>
            <w:noWrap w:val="0"/>
            <w:vAlign w:val="center"/>
          </w:tcPr>
          <w:p>
            <w:pPr>
              <w:pStyle w:val="32"/>
              <w:kinsoku w:val="0"/>
              <w:overflowPunct w:val="0"/>
              <w:spacing w:before="13"/>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募集期</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年7月27日-20</w:t>
            </w:r>
            <w:r>
              <w:rPr>
                <w:rFonts w:ascii="楷体" w:hAnsi="楷体" w:eastAsia="楷体" w:cs="宋体"/>
                <w:spacing w:val="-2"/>
                <w:sz w:val="21"/>
                <w:szCs w:val="21"/>
              </w:rPr>
              <w:t>21</w:t>
            </w:r>
            <w:r>
              <w:rPr>
                <w:rFonts w:hint="eastAsia" w:ascii="楷体" w:hAnsi="楷体" w:eastAsia="楷体" w:cs="宋体"/>
                <w:spacing w:val="-2"/>
                <w:sz w:val="21"/>
                <w:szCs w:val="21"/>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认购份额计算</w:t>
            </w:r>
          </w:p>
        </w:tc>
        <w:tc>
          <w:tcPr>
            <w:tcW w:w="6614" w:type="dxa"/>
            <w:noWrap w:val="0"/>
            <w:vAlign w:val="center"/>
          </w:tcPr>
          <w:p>
            <w:pPr>
              <w:jc w:val="left"/>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1"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投资运作起始日</w:t>
            </w:r>
          </w:p>
        </w:tc>
        <w:tc>
          <w:tcPr>
            <w:tcW w:w="6614"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2"/>
              <w:kinsoku w:val="0"/>
              <w:overflowPunct w:val="0"/>
              <w:spacing w:before="12"/>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封闭运作期</w:t>
            </w:r>
          </w:p>
        </w:tc>
        <w:tc>
          <w:tcPr>
            <w:tcW w:w="6614" w:type="dxa"/>
            <w:noWrap w:val="0"/>
            <w:vAlign w:val="center"/>
          </w:tcPr>
          <w:p>
            <w:pPr>
              <w:pStyle w:val="32"/>
              <w:kinsoku w:val="0"/>
              <w:overflowPunct w:val="0"/>
              <w:spacing w:before="1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年7月30日-20</w:t>
            </w:r>
            <w:r>
              <w:rPr>
                <w:rFonts w:ascii="楷体" w:hAnsi="楷体" w:eastAsia="楷体" w:cs="宋体"/>
                <w:spacing w:val="-2"/>
                <w:sz w:val="21"/>
                <w:szCs w:val="21"/>
              </w:rPr>
              <w:t>21</w:t>
            </w:r>
            <w:r>
              <w:rPr>
                <w:rFonts w:hint="eastAsia" w:ascii="楷体" w:hAnsi="楷体" w:eastAsia="楷体" w:cs="宋体"/>
                <w:spacing w:val="-2"/>
                <w:sz w:val="21"/>
                <w:szCs w:val="21"/>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2"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终止日</w:t>
            </w:r>
          </w:p>
        </w:tc>
        <w:tc>
          <w:tcPr>
            <w:tcW w:w="6614" w:type="dxa"/>
            <w:noWrap w:val="0"/>
            <w:vAlign w:val="center"/>
          </w:tcPr>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rPr>
              <w:t>2041年7月30日</w:t>
            </w:r>
            <w:r>
              <w:rPr>
                <w:rFonts w:hint="eastAsia" w:ascii="楷体" w:hAnsi="楷体" w:eastAsia="楷体" w:cs="宋体"/>
                <w:spacing w:val="-2"/>
                <w:sz w:val="21"/>
                <w:szCs w:val="21"/>
                <w:highlight w:val="none"/>
              </w:rPr>
              <w:t>（如遇节假日，顺延至下一工作日）</w:t>
            </w:r>
          </w:p>
          <w:p>
            <w:pPr>
              <w:pStyle w:val="32"/>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在符合</w:t>
            </w:r>
            <w:r>
              <w:rPr>
                <w:rFonts w:hint="eastAsia" w:ascii="楷体" w:hAnsi="楷体" w:eastAsia="楷体" w:cs="宋体"/>
                <w:spacing w:val="-2"/>
                <w:sz w:val="21"/>
                <w:szCs w:val="21"/>
                <w:highlight w:val="none"/>
                <w:lang w:val="en-US" w:eastAsia="zh-CN"/>
              </w:rPr>
              <w:t>本理财</w:t>
            </w:r>
            <w:r>
              <w:rPr>
                <w:rFonts w:hint="eastAsia" w:ascii="楷体" w:hAnsi="楷体" w:eastAsia="楷体" w:cs="宋体"/>
                <w:spacing w:val="-2"/>
                <w:sz w:val="21"/>
                <w:szCs w:val="21"/>
                <w:highlight w:val="none"/>
              </w:rPr>
              <w:t>产品说明书约定的条件下，</w:t>
            </w:r>
            <w:r>
              <w:rPr>
                <w:rFonts w:hint="eastAsia" w:ascii="楷体" w:hAnsi="楷体" w:eastAsia="楷体" w:cs="宋体"/>
                <w:spacing w:val="-2"/>
                <w:sz w:val="21"/>
                <w:szCs w:val="21"/>
                <w:highlight w:val="none"/>
                <w:lang w:val="en-US" w:eastAsia="zh-CN"/>
              </w:rPr>
              <w:t>管理人</w:t>
            </w:r>
            <w:r>
              <w:rPr>
                <w:rFonts w:hint="eastAsia" w:ascii="楷体" w:hAnsi="楷体" w:eastAsia="楷体" w:cs="宋体"/>
                <w:spacing w:val="-2"/>
                <w:sz w:val="21"/>
                <w:szCs w:val="21"/>
                <w:highlight w:val="none"/>
              </w:rPr>
              <w:t>有权提前终止</w:t>
            </w:r>
            <w:r>
              <w:rPr>
                <w:rFonts w:hint="eastAsia" w:ascii="楷体" w:hAnsi="楷体" w:eastAsia="楷体" w:cs="宋体"/>
                <w:spacing w:val="-2"/>
                <w:sz w:val="21"/>
                <w:szCs w:val="21"/>
                <w:highlight w:val="none"/>
                <w:lang w:val="en-US" w:eastAsia="zh-CN"/>
              </w:rPr>
              <w:t>该</w:t>
            </w:r>
            <w:r>
              <w:rPr>
                <w:rFonts w:hint="eastAsia" w:ascii="楷体" w:hAnsi="楷体" w:eastAsia="楷体" w:cs="宋体"/>
                <w:spacing w:val="-2"/>
                <w:sz w:val="21"/>
                <w:szCs w:val="21"/>
                <w:highlight w:val="none"/>
              </w:rPr>
              <w:t>产品，产品到期日受制于提前终止条款。详见下文“十二、产品的终止与清算”。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 w:hRule="exact"/>
          <w:jc w:val="center"/>
        </w:trPr>
        <w:tc>
          <w:tcPr>
            <w:tcW w:w="2278" w:type="dxa"/>
            <w:noWrap w:val="0"/>
            <w:vAlign w:val="center"/>
          </w:tcPr>
          <w:p>
            <w:pPr>
              <w:pStyle w:val="32"/>
              <w:kinsoku w:val="0"/>
              <w:overflowPunct w:val="0"/>
              <w:spacing w:before="12"/>
              <w:ind w:left="2"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开放日</w:t>
            </w:r>
          </w:p>
        </w:tc>
        <w:tc>
          <w:tcPr>
            <w:tcW w:w="6614" w:type="dxa"/>
            <w:noWrap w:val="0"/>
            <w:vAlign w:val="center"/>
          </w:tcPr>
          <w:p>
            <w:pPr>
              <w:pStyle w:val="32"/>
              <w:kinsoku w:val="0"/>
              <w:overflowPunct w:val="0"/>
              <w:spacing w:before="12"/>
              <w:ind w:left="2" w:leftChars="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7"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开放计划</w:t>
            </w:r>
          </w:p>
        </w:tc>
        <w:tc>
          <w:tcPr>
            <w:tcW w:w="6614" w:type="dxa"/>
            <w:noWrap w:val="0"/>
            <w:vAlign w:val="top"/>
          </w:tcPr>
          <w:p>
            <w:pPr>
              <w:pStyle w:val="32"/>
              <w:kinsoku w:val="0"/>
              <w:overflowPunct w:val="0"/>
              <w:spacing w:before="12"/>
              <w:ind w:left="2" w:leftChars="0"/>
              <w:rPr>
                <w:rFonts w:hint="eastAsia" w:ascii="楷体" w:hAnsi="楷体" w:eastAsia="楷体" w:cs="宋体"/>
                <w:b/>
                <w:spacing w:val="-2"/>
                <w:kern w:val="0"/>
                <w:sz w:val="21"/>
                <w:szCs w:val="21"/>
                <w:lang w:val="en-US" w:eastAsia="zh-CN" w:bidi="ar-SA"/>
              </w:rPr>
            </w:pPr>
            <w:r>
              <w:rPr>
                <w:rFonts w:hint="eastAsia" w:ascii="楷体" w:hAnsi="楷体" w:eastAsia="楷体" w:cs="宋体"/>
                <w:spacing w:val="-2"/>
                <w:sz w:val="21"/>
                <w:szCs w:val="21"/>
              </w:rPr>
              <w:t>本产品封闭运作期结束后，自2021年8月23日起按工作日开放申购/赎回，苏银理财可根据资产运作情况、节假日调整、客户需求调整开放频率，并在调整前通过苏银理财官方网站公告。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工作日</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2" w:hRule="exact"/>
          <w:jc w:val="center"/>
        </w:trPr>
        <w:tc>
          <w:tcPr>
            <w:tcW w:w="2278" w:type="dxa"/>
            <w:noWrap w:val="0"/>
            <w:vAlign w:val="center"/>
          </w:tcPr>
          <w:p>
            <w:pPr>
              <w:pStyle w:val="32"/>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单一投资者单日累计认/申购上限</w:t>
            </w:r>
          </w:p>
        </w:tc>
        <w:tc>
          <w:tcPr>
            <w:tcW w:w="6614" w:type="dxa"/>
            <w:noWrap w:val="0"/>
            <w:vAlign w:val="center"/>
          </w:tcPr>
          <w:p>
            <w:pPr>
              <w:pStyle w:val="32"/>
              <w:kinsoku w:val="0"/>
              <w:overflowPunct w:val="0"/>
              <w:spacing w:before="12"/>
              <w:ind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rPr>
              <w:t>单个工作日累计认/申购上限（暂无）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7" w:hRule="exact"/>
          <w:jc w:val="center"/>
        </w:trPr>
        <w:tc>
          <w:tcPr>
            <w:tcW w:w="2278" w:type="dxa"/>
            <w:noWrap w:val="0"/>
            <w:vAlign w:val="center"/>
          </w:tcPr>
          <w:p>
            <w:pPr>
              <w:pStyle w:val="32"/>
              <w:kinsoku w:val="0"/>
              <w:overflowPunct w:val="0"/>
              <w:spacing w:before="12"/>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单个客户持有份额上限</w:t>
            </w:r>
          </w:p>
        </w:tc>
        <w:tc>
          <w:tcPr>
            <w:tcW w:w="6614" w:type="dxa"/>
            <w:noWrap w:val="0"/>
            <w:vAlign w:val="center"/>
          </w:tcPr>
          <w:p>
            <w:pPr>
              <w:ind w:left="59" w:leftChars="0" w:right="73" w:rightChars="35"/>
              <w:rPr>
                <w:rFonts w:hint="eastAsia" w:ascii="楷体" w:hAnsi="楷体" w:eastAsia="楷体" w:cs="宋体"/>
                <w:spacing w:val="-2"/>
                <w:sz w:val="21"/>
                <w:szCs w:val="21"/>
                <w:lang w:eastAsia="zh-CN"/>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7"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rPr>
              <w:t>产品申购</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rPr>
              <w:t>申购时间为7*24小时，</w:t>
            </w:r>
            <w:r>
              <w:rPr>
                <w:rFonts w:hint="eastAsia" w:ascii="楷体" w:hAnsi="楷体" w:eastAsia="楷体" w:cs="宋体"/>
                <w:spacing w:val="-2"/>
                <w:kern w:val="0"/>
                <w:szCs w:val="21"/>
                <w:highlight w:val="none"/>
              </w:rPr>
              <w:t>工作日1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0前申购T+1确认，1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0后</w:t>
            </w:r>
            <w:r>
              <w:rPr>
                <w:rFonts w:hint="eastAsia" w:ascii="楷体" w:hAnsi="楷体" w:eastAsia="楷体" w:cs="宋体"/>
                <w:spacing w:val="-2"/>
                <w:kern w:val="0"/>
                <w:szCs w:val="21"/>
              </w:rPr>
              <w:t>的申购为预受理，视同下一工作日申购。申购按受理日当日单位净值确认份额。</w:t>
            </w: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8" w:hRule="exact"/>
          <w:jc w:val="center"/>
        </w:trPr>
        <w:tc>
          <w:tcPr>
            <w:tcW w:w="2278" w:type="dxa"/>
            <w:noWrap w:val="0"/>
            <w:vAlign w:val="center"/>
          </w:tcPr>
          <w:p>
            <w:pPr>
              <w:pStyle w:val="32"/>
              <w:kinsoku w:val="0"/>
              <w:overflowPunct w:val="0"/>
              <w:spacing w:before="12"/>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614" w:type="dxa"/>
            <w:noWrap w:val="0"/>
            <w:vAlign w:val="center"/>
          </w:tcPr>
          <w:p>
            <w:pPr>
              <w:jc w:val="left"/>
              <w:rPr>
                <w:rFonts w:hint="eastAsia" w:ascii="楷体" w:hAnsi="楷体" w:eastAsia="楷体" w:cs="宋体"/>
                <w:spacing w:val="-2"/>
                <w:kern w:val="0"/>
                <w:sz w:val="21"/>
                <w:szCs w:val="21"/>
                <w:lang w:val="en-US" w:eastAsia="zh-CN" w:bidi="ar-SA"/>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申购份额的计算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rPr>
            </w:pPr>
            <w:r>
              <w:rPr>
                <w:rFonts w:hint="eastAsia" w:ascii="楷体" w:hAnsi="楷体" w:eastAsia="楷体" w:cs="宋体"/>
                <w:spacing w:val="-2"/>
                <w:kern w:val="0"/>
                <w:sz w:val="21"/>
                <w:szCs w:val="21"/>
                <w:highlight w:val="none"/>
                <w:lang w:val="en-US" w:eastAsia="zh-CN" w:bidi="ar-SA"/>
              </w:rPr>
              <w:t>申购份额=申购金额/申购受理日产品单位净值（四舍五入保留2位小数）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4" w:hRule="exact"/>
          <w:jc w:val="center"/>
        </w:trPr>
        <w:tc>
          <w:tcPr>
            <w:tcW w:w="2278" w:type="dxa"/>
            <w:noWrap w:val="0"/>
            <w:vAlign w:val="center"/>
          </w:tcPr>
          <w:p>
            <w:pPr>
              <w:pStyle w:val="32"/>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614" w:type="dxa"/>
            <w:noWrap w:val="0"/>
            <w:vAlign w:val="center"/>
          </w:tcPr>
          <w:p>
            <w:pPr>
              <w:jc w:val="left"/>
              <w:rPr>
                <w:rFonts w:ascii="楷体" w:hAnsi="楷体" w:eastAsia="楷体" w:cs="宋体"/>
                <w:b/>
                <w:spacing w:val="-2"/>
                <w:kern w:val="0"/>
                <w:szCs w:val="21"/>
                <w:u w:val="single"/>
              </w:rPr>
            </w:pPr>
            <w:r>
              <w:rPr>
                <w:rFonts w:hint="eastAsia" w:ascii="楷体" w:hAnsi="楷体" w:eastAsia="楷体" w:cs="宋体"/>
                <w:spacing w:val="-2"/>
                <w:kern w:val="0"/>
                <w:szCs w:val="21"/>
                <w:lang w:val="en-US" w:eastAsia="zh-CN"/>
              </w:rPr>
              <w:t>本产品</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kern w:val="0"/>
                <w:szCs w:val="21"/>
                <w:lang w:val="en-US" w:eastAsia="zh-CN"/>
              </w:rPr>
              <w:t>G/ZJ份额</w:t>
            </w:r>
            <w:r>
              <w:rPr>
                <w:rFonts w:hint="eastAsia" w:ascii="楷体" w:hAnsi="楷体" w:eastAsia="楷体" w:cs="宋体"/>
                <w:spacing w:val="-2"/>
                <w:kern w:val="0"/>
                <w:szCs w:val="21"/>
              </w:rPr>
              <w:t>自动赎回。本产品以98天为1个投资周期，客户份额持有时间达到98天，系统自动发起赎回。</w:t>
            </w:r>
            <w:r>
              <w:rPr>
                <w:rFonts w:hint="eastAsia" w:ascii="楷体" w:hAnsi="楷体" w:eastAsia="楷体" w:cs="宋体"/>
                <w:b/>
                <w:spacing w:val="-2"/>
                <w:kern w:val="0"/>
                <w:szCs w:val="21"/>
                <w:u w:val="single"/>
              </w:rPr>
              <w:t>如份额确认日对应的98天为非工作日，苏银理财将对自动赎回日进行动态调整，以苏银理财的公告和系统设置为准，在此情况情形下投资周期可能会略长于或短于98天</w:t>
            </w:r>
            <w:r>
              <w:rPr>
                <w:rFonts w:hint="eastAsia" w:ascii="楷体" w:hAnsi="楷体" w:eastAsia="楷体" w:cs="宋体"/>
                <w:spacing w:val="-2"/>
                <w:kern w:val="0"/>
                <w:szCs w:val="21"/>
              </w:rPr>
              <w:t>。自动赎回时按实际赎回日前一工作日产品单位净值计算客户赎回兑付金额，自动赎回不受</w:t>
            </w:r>
            <w:r>
              <w:rPr>
                <w:rFonts w:hint="eastAsia" w:ascii="楷体" w:hAnsi="楷体" w:eastAsia="楷体" w:cs="宋体"/>
                <w:spacing w:val="-2"/>
                <w:kern w:val="0"/>
                <w:szCs w:val="21"/>
                <w:lang w:val="en-US" w:eastAsia="zh-CN"/>
              </w:rPr>
              <w:t>巨</w:t>
            </w:r>
            <w:r>
              <w:rPr>
                <w:rFonts w:hint="eastAsia" w:ascii="楷体" w:hAnsi="楷体" w:eastAsia="楷体" w:cs="宋体"/>
                <w:spacing w:val="-2"/>
                <w:kern w:val="0"/>
                <w:szCs w:val="21"/>
              </w:rPr>
              <w:t>额赎回限制。</w:t>
            </w:r>
          </w:p>
          <w:p>
            <w:pPr>
              <w:jc w:val="left"/>
              <w:rPr>
                <w:rFonts w:hint="eastAsia" w:ascii="楷体" w:hAnsi="楷体" w:eastAsia="楷体" w:cs="宋体"/>
                <w:spacing w:val="-2"/>
                <w:kern w:val="0"/>
                <w:szCs w:val="21"/>
              </w:rPr>
            </w:pPr>
            <w:r>
              <w:rPr>
                <w:rFonts w:ascii="楷体" w:hAnsi="楷体" w:eastAsia="楷体" w:cs="宋体"/>
                <w:spacing w:val="-2"/>
                <w:kern w:val="0"/>
                <w:szCs w:val="21"/>
              </w:rPr>
              <w:t>详见下文</w:t>
            </w:r>
            <w:r>
              <w:rPr>
                <w:rFonts w:hint="eastAsia" w:ascii="楷体" w:hAnsi="楷体" w:eastAsia="楷体" w:cs="宋体"/>
                <w:spacing w:val="-2"/>
                <w:kern w:val="0"/>
                <w:szCs w:val="21"/>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4"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614" w:type="dxa"/>
            <w:noWrap w:val="0"/>
            <w:vAlign w:val="center"/>
          </w:tcPr>
          <w:p>
            <w:pPr>
              <w:pStyle w:val="32"/>
              <w:kinsoku w:val="0"/>
              <w:overflowPunct w:val="0"/>
              <w:spacing w:before="12"/>
              <w:rPr>
                <w:rFonts w:ascii="楷体" w:hAnsi="楷体" w:eastAsia="楷体" w:cs="宋体"/>
                <w:spacing w:val="-2"/>
                <w:kern w:val="0"/>
                <w:szCs w:val="21"/>
              </w:rPr>
            </w:pPr>
            <w:r>
              <w:rPr>
                <w:rFonts w:hint="eastAsia" w:ascii="楷体" w:hAnsi="楷体" w:eastAsia="楷体" w:cs="宋体"/>
                <w:spacing w:val="-2"/>
                <w:sz w:val="21"/>
                <w:szCs w:val="21"/>
              </w:rPr>
              <w:t>详见下文“十一、产品运作”</w:t>
            </w:r>
            <w:r>
              <w:rPr>
                <w:rFonts w:hint="eastAsia" w:ascii="楷体" w:hAnsi="楷体" w:eastAsia="楷体" w:cs="宋体"/>
                <w:spacing w:val="-2"/>
                <w:sz w:val="21"/>
                <w:szCs w:val="21"/>
                <w:highlight w:val="none"/>
                <w:lang w:val="en-US" w:eastAsia="zh-CN"/>
              </w:rPr>
              <w:t>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9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 w:val="21"/>
                <w:szCs w:val="21"/>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614"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3"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614"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4" w:hRule="exact"/>
          <w:jc w:val="center"/>
        </w:trPr>
        <w:tc>
          <w:tcPr>
            <w:tcW w:w="2278" w:type="dxa"/>
            <w:noWrap w:val="0"/>
            <w:vAlign w:val="center"/>
          </w:tcPr>
          <w:p>
            <w:pPr>
              <w:pStyle w:val="32"/>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614"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w:t>
            </w:r>
            <w:r>
              <w:rPr>
                <w:rFonts w:hint="eastAsia" w:ascii="楷体" w:hAnsi="楷体" w:eastAsia="楷体" w:cs="宋体"/>
                <w:spacing w:val="-2"/>
                <w:kern w:val="0"/>
                <w:szCs w:val="21"/>
                <w:highlight w:val="none"/>
                <w:lang w:eastAsia="zh-CN"/>
              </w:rPr>
              <w:t>理财产品（代理）销售协议书</w:t>
            </w:r>
            <w:r>
              <w:rPr>
                <w:rFonts w:hint="eastAsia" w:ascii="楷体" w:hAnsi="楷体" w:eastAsia="楷体" w:cs="宋体"/>
                <w:spacing w:val="-2"/>
                <w:kern w:val="0"/>
                <w:szCs w:val="21"/>
                <w:highlight w:val="none"/>
              </w:rPr>
              <w:t>》相关条款确定。（以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lang w:eastAsia="zh-CN"/>
              </w:rPr>
              <w:t>）</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r>
              <w:rPr>
                <w:rFonts w:hint="eastAsia" w:ascii="楷体" w:hAnsi="楷体" w:eastAsia="楷体" w:cs="宋体"/>
                <w:b/>
                <w:spacing w:val="-2"/>
                <w:kern w:val="0"/>
                <w:szCs w:val="21"/>
                <w:highlight w:val="none"/>
                <w:u w:val="single"/>
              </w:rPr>
              <w:t>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9" w:hRule="exact"/>
          <w:jc w:val="center"/>
        </w:trPr>
        <w:tc>
          <w:tcPr>
            <w:tcW w:w="2278" w:type="dxa"/>
            <w:noWrap w:val="0"/>
            <w:vAlign w:val="center"/>
          </w:tcPr>
          <w:p>
            <w:pPr>
              <w:pStyle w:val="32"/>
              <w:kinsoku w:val="0"/>
              <w:overflowPunct w:val="0"/>
              <w:spacing w:before="12"/>
              <w:ind w:left="2" w:leftChars="0"/>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614" w:type="dxa"/>
            <w:noWrap w:val="0"/>
            <w:vAlign w:val="center"/>
          </w:tcPr>
          <w:p>
            <w:pPr>
              <w:pStyle w:val="32"/>
              <w:kinsoku w:val="0"/>
              <w:overflowPunct w:val="0"/>
              <w:spacing w:before="12"/>
              <w:rPr>
                <w:rFonts w:hint="eastAsia" w:ascii="楷体" w:hAnsi="楷体" w:eastAsia="楷体" w:cs="宋体"/>
                <w:spacing w:val="-2"/>
                <w:kern w:val="0"/>
                <w:szCs w:val="21"/>
                <w:highlight w:val="none"/>
              </w:rPr>
            </w:pPr>
            <w:r>
              <w:rPr>
                <w:rFonts w:hint="eastAsia" w:ascii="楷体" w:hAnsi="楷体" w:eastAsia="楷体" w:cs="宋体"/>
                <w:spacing w:val="-2"/>
                <w:sz w:val="21"/>
                <w:szCs w:val="21"/>
              </w:rPr>
              <w:t>投</w:t>
            </w:r>
            <w:r>
              <w:rPr>
                <w:rFonts w:hint="eastAsia" w:ascii="楷体" w:hAnsi="楷体" w:eastAsia="楷体" w:cs="宋体"/>
                <w:spacing w:val="-2"/>
                <w:sz w:val="21"/>
                <w:szCs w:val="21"/>
                <w:highlight w:val="none"/>
              </w:rPr>
              <w:t>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4" w:hRule="exact"/>
          <w:jc w:val="center"/>
        </w:trPr>
        <w:tc>
          <w:tcPr>
            <w:tcW w:w="2278" w:type="dxa"/>
            <w:noWrap w:val="0"/>
            <w:vAlign w:val="center"/>
          </w:tcPr>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w:t>
            </w:r>
          </w:p>
          <w:p>
            <w:pPr>
              <w:pStyle w:val="32"/>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（年化）</w:t>
            </w:r>
          </w:p>
        </w:tc>
        <w:tc>
          <w:tcPr>
            <w:tcW w:w="6614" w:type="dxa"/>
            <w:noWrap w:val="0"/>
            <w:vAlign w:val="center"/>
          </w:tcPr>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G份额：年化</w:t>
            </w:r>
            <w:r>
              <w:rPr>
                <w:rFonts w:hint="eastAsia" w:ascii="楷体" w:hAnsi="楷体" w:eastAsia="楷体" w:cs="宋体"/>
                <w:spacing w:val="-2"/>
                <w:sz w:val="21"/>
                <w:szCs w:val="21"/>
                <w:highlight w:val="none"/>
                <w:lang w:val="en-US" w:eastAsia="zh-CN"/>
              </w:rPr>
              <w:t>2.05%-2.95%</w:t>
            </w:r>
          </w:p>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w:t>
            </w:r>
            <w:r>
              <w:rPr>
                <w:rFonts w:hint="eastAsia" w:ascii="楷体" w:hAnsi="楷体" w:eastAsia="楷体" w:cs="宋体"/>
                <w:spacing w:val="-2"/>
                <w:sz w:val="21"/>
                <w:szCs w:val="21"/>
                <w:highlight w:val="none"/>
                <w:lang w:val="en-US" w:eastAsia="zh-CN"/>
              </w:rPr>
              <w:t>1.90%-2.80%</w:t>
            </w:r>
          </w:p>
          <w:p>
            <w:pPr>
              <w:pStyle w:val="32"/>
              <w:kinsoku w:val="0"/>
              <w:overflowPunct w:val="0"/>
              <w:spacing w:before="37" w:line="273" w:lineRule="auto"/>
              <w:ind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highlight w:val="none"/>
                <w:lang w:val="en-US" w:eastAsia="zh-CN"/>
              </w:rPr>
              <w:t>1.90%-2.80%</w:t>
            </w:r>
          </w:p>
          <w:p>
            <w:pPr>
              <w:pStyle w:val="32"/>
              <w:kinsoku w:val="0"/>
              <w:overflowPunct w:val="0"/>
              <w:spacing w:before="37" w:line="273" w:lineRule="auto"/>
              <w:ind w:right="103"/>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lang w:val="en-US" w:eastAsia="zh-CN"/>
              </w:rPr>
              <w:t>ZJ份额：</w:t>
            </w:r>
            <w:r>
              <w:rPr>
                <w:rFonts w:hint="eastAsia" w:ascii="楷体" w:hAnsi="楷体" w:eastAsia="楷体" w:cs="宋体"/>
                <w:spacing w:val="-2"/>
                <w:sz w:val="21"/>
                <w:szCs w:val="21"/>
                <w:highlight w:val="none"/>
                <w:lang w:val="en-US" w:eastAsia="zh-CN"/>
              </w:rPr>
              <w:t>2.10%-3.00%</w:t>
            </w:r>
          </w:p>
          <w:p>
            <w:pPr>
              <w:pStyle w:val="32"/>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2"/>
              <w:kinsoku w:val="0"/>
              <w:overflowPunct w:val="0"/>
              <w:spacing w:before="37" w:line="273" w:lineRule="auto"/>
              <w:ind w:right="103"/>
              <w:rPr>
                <w:rFonts w:hint="eastAsia" w:ascii="楷体" w:hAnsi="楷体" w:eastAsia="楷体" w:cs="宋体"/>
                <w:spacing w:val="-2"/>
                <w:sz w:val="21"/>
                <w:szCs w:val="21"/>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9" w:hRule="exact"/>
          <w:jc w:val="center"/>
        </w:trPr>
        <w:tc>
          <w:tcPr>
            <w:tcW w:w="2278" w:type="dxa"/>
            <w:noWrap w:val="0"/>
            <w:vAlign w:val="center"/>
          </w:tcPr>
          <w:p>
            <w:pPr>
              <w:pStyle w:val="32"/>
              <w:kinsoku w:val="0"/>
              <w:overflowPunct w:val="0"/>
              <w:spacing w:before="18"/>
              <w:ind w:left="4"/>
              <w:rPr>
                <w:rFonts w:hint="eastAsia"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ind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hint="default" w:ascii="楷体" w:hAnsi="楷体" w:eastAsia="楷体" w:cs="宋体"/>
                <w:spacing w:val="-2"/>
                <w:szCs w:val="21"/>
                <w:lang w:val="en-US"/>
              </w:rPr>
            </w:pPr>
            <w:r>
              <w:rPr>
                <w:rFonts w:hint="eastAsia" w:ascii="楷体" w:hAnsi="楷体" w:eastAsia="楷体" w:cs="宋体"/>
                <w:spacing w:val="-2"/>
                <w:szCs w:val="21"/>
              </w:rPr>
              <w:t>2．销售服务费率：</w:t>
            </w:r>
            <w:r>
              <w:rPr>
                <w:rFonts w:hint="eastAsia" w:ascii="楷体" w:hAnsi="楷体" w:eastAsia="楷体" w:cs="宋体"/>
                <w:spacing w:val="-2"/>
                <w:szCs w:val="21"/>
                <w:lang w:eastAsia="zh-CN"/>
              </w:rPr>
              <w:t>G</w:t>
            </w:r>
            <w:r>
              <w:rPr>
                <w:rFonts w:hint="eastAsia" w:ascii="楷体" w:hAnsi="楷体" w:eastAsia="楷体" w:cs="宋体"/>
                <w:spacing w:val="-2"/>
                <w:szCs w:val="21"/>
              </w:rPr>
              <w:t>份额0</w:t>
            </w:r>
            <w:r>
              <w:rPr>
                <w:rFonts w:ascii="楷体" w:hAnsi="楷体" w:eastAsia="楷体" w:cs="宋体"/>
                <w:spacing w:val="-2"/>
                <w:szCs w:val="21"/>
              </w:rPr>
              <w:t>.</w:t>
            </w:r>
            <w:r>
              <w:rPr>
                <w:rFonts w:hint="eastAsia" w:ascii="楷体" w:hAnsi="楷体" w:eastAsia="楷体" w:cs="宋体"/>
                <w:spacing w:val="-2"/>
                <w:szCs w:val="21"/>
                <w:lang w:val="en-US" w:eastAsia="zh-CN"/>
              </w:rPr>
              <w:t>10</w:t>
            </w:r>
            <w:r>
              <w:rPr>
                <w:rFonts w:hint="eastAsia" w:ascii="楷体" w:hAnsi="楷体" w:eastAsia="楷体" w:cs="宋体"/>
                <w:spacing w:val="-2"/>
                <w:szCs w:val="21"/>
              </w:rPr>
              <w:t>%/年；</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份额0.30%/年；北部湾银行专属份额0.30%/年；ZJ份额0.20%/年；</w:t>
            </w:r>
          </w:p>
          <w:p>
            <w:pPr>
              <w:ind w:right="115" w:rightChars="55"/>
              <w:rPr>
                <w:rFonts w:hint="default" w:ascii="楷体" w:hAnsi="楷体" w:eastAsia="楷体" w:cs="宋体"/>
                <w:spacing w:val="-2"/>
                <w:szCs w:val="21"/>
                <w:lang w:val="en-US" w:eastAsia="zh-CN"/>
              </w:rPr>
            </w:pPr>
            <w:r>
              <w:rPr>
                <w:rFonts w:hint="eastAsia" w:ascii="楷体" w:hAnsi="楷体" w:eastAsia="楷体" w:cs="宋体"/>
                <w:spacing w:val="-2"/>
                <w:szCs w:val="21"/>
              </w:rPr>
              <w:t>3．投资管理费率：</w:t>
            </w:r>
            <w:r>
              <w:rPr>
                <w:rFonts w:hint="eastAsia" w:ascii="楷体" w:hAnsi="楷体" w:eastAsia="楷体" w:cs="宋体"/>
                <w:spacing w:val="-2"/>
                <w:szCs w:val="21"/>
                <w:lang w:eastAsia="zh-CN"/>
              </w:rPr>
              <w:t>G</w:t>
            </w:r>
            <w:r>
              <w:rPr>
                <w:rFonts w:ascii="楷体" w:hAnsi="楷体" w:eastAsia="楷体" w:cs="宋体"/>
                <w:spacing w:val="-2"/>
                <w:szCs w:val="21"/>
              </w:rPr>
              <w:t>份额</w:t>
            </w: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lang w:val="en-US" w:eastAsia="zh-CN"/>
              </w:rPr>
              <w:t>75</w:t>
            </w:r>
            <w:r>
              <w:rPr>
                <w:rFonts w:hint="eastAsia" w:ascii="楷体" w:hAnsi="楷体" w:eastAsia="楷体" w:cs="宋体"/>
                <w:spacing w:val="-2"/>
                <w:szCs w:val="21"/>
              </w:rPr>
              <w:t>%</w:t>
            </w:r>
            <w:r>
              <w:rPr>
                <w:rFonts w:ascii="楷体" w:hAnsi="楷体" w:eastAsia="楷体" w:cs="宋体"/>
                <w:spacing w:val="-2"/>
                <w:szCs w:val="21"/>
              </w:rPr>
              <w:t>/年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份额0.70%/年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北部湾银行专属份额0.70%/年</w:t>
            </w:r>
            <w:r>
              <w:rPr>
                <w:rFonts w:hint="eastAsia" w:ascii="楷体" w:hAnsi="楷体" w:eastAsia="楷体" w:cs="宋体"/>
                <w:spacing w:val="-2"/>
                <w:szCs w:val="21"/>
                <w:lang w:eastAsia="zh-CN"/>
              </w:rPr>
              <w:t>；</w:t>
            </w:r>
            <w:r>
              <w:rPr>
                <w:rFonts w:hint="eastAsia" w:ascii="楷体" w:hAnsi="楷体" w:eastAsia="楷体" w:cs="宋体"/>
                <w:spacing w:val="-2"/>
                <w:sz w:val="21"/>
                <w:szCs w:val="21"/>
                <w:lang w:val="en-US" w:eastAsia="zh-CN"/>
              </w:rPr>
              <w:t>ZJ份额0.60%/年。</w:t>
            </w:r>
          </w:p>
          <w:p>
            <w:pPr>
              <w:ind w:right="115" w:rightChars="55"/>
              <w:rPr>
                <w:rFonts w:ascii="楷体" w:hAnsi="楷体" w:eastAsia="楷体" w:cs="宋体"/>
                <w:spacing w:val="-2"/>
                <w:szCs w:val="21"/>
              </w:rPr>
            </w:pPr>
            <w:r>
              <w:rPr>
                <w:rFonts w:hint="eastAsia" w:ascii="楷体" w:hAnsi="楷体" w:eastAsia="楷体" w:cs="宋体"/>
                <w:spacing w:val="-2"/>
                <w:szCs w:val="21"/>
              </w:rPr>
              <w:t>4.超额业绩报酬：管理人按投资周期收取超额业绩报酬，若单一投资周期的产品实际投资收益在扣除托管费、销售服务费、投资管理费以及运作产品所必须缴纳的税费后超过</w:t>
            </w:r>
            <w:r>
              <w:rPr>
                <w:rFonts w:hint="eastAsia" w:ascii="楷体" w:hAnsi="楷体" w:eastAsia="楷体" w:cs="宋体"/>
                <w:spacing w:val="-2"/>
                <w:szCs w:val="21"/>
                <w:lang w:val="en-US" w:eastAsia="zh-CN"/>
              </w:rPr>
              <w:t>业绩比较基准上限</w:t>
            </w:r>
            <w:r>
              <w:rPr>
                <w:rFonts w:hint="eastAsia" w:ascii="楷体" w:hAnsi="楷体" w:eastAsia="楷体" w:cs="宋体"/>
                <w:spacing w:val="-2"/>
                <w:szCs w:val="21"/>
              </w:rPr>
              <w:t>，产品管理人将按照超出部分的</w:t>
            </w:r>
            <w:r>
              <w:rPr>
                <w:rFonts w:ascii="楷体" w:hAnsi="楷体" w:eastAsia="楷体" w:cs="宋体"/>
                <w:spacing w:val="-2"/>
                <w:szCs w:val="21"/>
              </w:rPr>
              <w:t>30</w:t>
            </w:r>
            <w:r>
              <w:rPr>
                <w:rFonts w:hint="eastAsia" w:ascii="楷体" w:hAnsi="楷体" w:eastAsia="楷体" w:cs="宋体"/>
                <w:spacing w:val="-2"/>
                <w:szCs w:val="21"/>
              </w:rPr>
              <w:t>%收取超额业绩报酬。</w:t>
            </w:r>
          </w:p>
          <w:p>
            <w:pPr>
              <w:ind w:right="115" w:rightChars="55"/>
              <w:rPr>
                <w:rFonts w:ascii="楷体" w:hAnsi="楷体" w:eastAsia="楷体"/>
                <w:sz w:val="24"/>
                <w:szCs w:val="24"/>
              </w:rPr>
            </w:pPr>
            <w:r>
              <w:rPr>
                <w:rFonts w:hint="eastAsia" w:ascii="楷体" w:hAnsi="楷体" w:eastAsia="楷体" w:cs="宋体"/>
                <w:spacing w:val="-2"/>
                <w:szCs w:val="21"/>
              </w:rPr>
              <w:t>产品存续期内苏银理财可对</w:t>
            </w:r>
            <w:r>
              <w:rPr>
                <w:rFonts w:hint="eastAsia" w:ascii="楷体" w:hAnsi="楷体" w:eastAsia="楷体" w:cs="宋体"/>
                <w:spacing w:val="-2"/>
                <w:szCs w:val="21"/>
                <w:lang w:val="en-US" w:eastAsia="zh-CN"/>
              </w:rPr>
              <w:t>产品费用进行调整</w:t>
            </w:r>
            <w:r>
              <w:rPr>
                <w:rFonts w:hint="eastAsia" w:ascii="楷体" w:hAnsi="楷体" w:eastAsia="楷体" w:cs="宋体"/>
                <w:spacing w:val="-2"/>
                <w:szCs w:val="21"/>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估值日</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9" w:hRule="exact"/>
          <w:jc w:val="center"/>
        </w:trPr>
        <w:tc>
          <w:tcPr>
            <w:tcW w:w="2278" w:type="dxa"/>
            <w:noWrap w:val="0"/>
            <w:vAlign w:val="center"/>
          </w:tcPr>
          <w:p>
            <w:pPr>
              <w:pStyle w:val="32"/>
              <w:kinsoku w:val="0"/>
              <w:overflowPunct w:val="0"/>
              <w:spacing w:before="18"/>
              <w:ind w:left="4" w:leftChars="0"/>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暂停估值</w:t>
            </w:r>
          </w:p>
        </w:tc>
        <w:tc>
          <w:tcPr>
            <w:tcW w:w="6614"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本产品在前一估值日内，产品资产净值50%以上的资产不具备活跃交易市场或者在活跃市场中无报价，且不能采用估值技术可靠计量公允价值的，管理人</w:t>
            </w:r>
            <w:r>
              <w:rPr>
                <w:rFonts w:hint="eastAsia" w:ascii="楷体" w:hAnsi="楷体" w:eastAsia="楷体" w:cs="宋体"/>
                <w:spacing w:val="-2"/>
                <w:szCs w:val="21"/>
                <w:highlight w:val="none"/>
                <w:lang w:val="en-US" w:eastAsia="zh-CN"/>
              </w:rPr>
              <w:t>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收益分配</w:t>
            </w:r>
          </w:p>
        </w:tc>
        <w:tc>
          <w:tcPr>
            <w:tcW w:w="6614" w:type="dxa"/>
            <w:noWrap w:val="0"/>
            <w:vAlign w:val="center"/>
          </w:tcPr>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本产品无分红机制，投资运作情况体现为产品净值变化。产品投资运作</w:t>
            </w:r>
          </w:p>
          <w:p>
            <w:pPr>
              <w:ind w:left="59" w:leftChars="0"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w:t>
            </w:r>
          </w:p>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信息披露</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exact"/>
          <w:jc w:val="center"/>
        </w:trPr>
        <w:tc>
          <w:tcPr>
            <w:tcW w:w="2278"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614"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w:t>
      </w:r>
      <w:r>
        <w:rPr>
          <w:rFonts w:hint="eastAsia" w:ascii="楷体" w:hAnsi="楷体" w:eastAsia="楷体"/>
          <w:sz w:val="24"/>
          <w:szCs w:val="24"/>
          <w:highlight w:val="none"/>
        </w:rPr>
        <w:t>苏银理财系江苏银行股份有限公司全资控股的银行理财子公司。公</w:t>
      </w:r>
      <w:r>
        <w:rPr>
          <w:rFonts w:hint="eastAsia" w:ascii="楷体" w:hAnsi="楷体" w:eastAsia="楷体"/>
          <w:sz w:val="24"/>
          <w:szCs w:val="24"/>
        </w:rPr>
        <w:t>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ind w:firstLine="480" w:firstLineChars="200"/>
        <w:rPr>
          <w:rFonts w:hint="eastAsia" w:ascii="楷体" w:hAnsi="楷体" w:eastAsia="楷体"/>
          <w:sz w:val="24"/>
          <w:szCs w:val="24"/>
        </w:rPr>
      </w:pP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0"/>
        <w:gridCol w:w="3428"/>
        <w:gridCol w:w="3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3785"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楷体" w:hAnsi="楷体" w:eastAsia="楷体" w:cs="楷体"/>
                <w:i w:val="0"/>
                <w:iCs w:val="0"/>
                <w:color w:val="000000"/>
                <w:sz w:val="20"/>
                <w:szCs w:val="20"/>
                <w:u w:val="none"/>
                <w:lang w:val="en-US" w:eastAsia="zh-CN"/>
              </w:rPr>
            </w:pPr>
            <w:r>
              <w:rPr>
                <w:rFonts w:hint="eastAsia" w:ascii="楷体" w:hAnsi="楷体" w:eastAsia="楷体" w:cs="楷体"/>
                <w:i w:val="0"/>
                <w:iCs w:val="0"/>
                <w:color w:val="000000"/>
                <w:sz w:val="20"/>
                <w:szCs w:val="20"/>
                <w:u w:val="none"/>
                <w:lang w:val="en-US" w:eastAsia="zh-CN"/>
              </w:rPr>
              <w:t>G份额</w:t>
            </w:r>
          </w:p>
        </w:tc>
        <w:tc>
          <w:tcPr>
            <w:tcW w:w="3428" w:type="dxa"/>
            <w:tcBorders>
              <w:top w:val="single" w:color="auto" w:sz="4" w:space="0"/>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甘肃银行股份有限公司</w:t>
            </w:r>
          </w:p>
        </w:tc>
        <w:tc>
          <w:tcPr>
            <w:tcW w:w="3021" w:type="dxa"/>
            <w:tcBorders>
              <w:top w:val="single" w:color="auto" w:sz="4" w:space="0"/>
              <w:left w:val="nil"/>
              <w:bottom w:val="nil"/>
              <w:right w:val="single" w:color="auto" w:sz="4" w:space="0"/>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九江银行股份有限公司</w:t>
            </w:r>
          </w:p>
        </w:tc>
        <w:tc>
          <w:tcPr>
            <w:tcW w:w="3021" w:type="dxa"/>
            <w:tcBorders>
              <w:top w:val="nil"/>
              <w:left w:val="nil"/>
              <w:bottom w:val="nil"/>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nil"/>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郑州银行股份有限公司</w:t>
            </w:r>
          </w:p>
        </w:tc>
        <w:tc>
          <w:tcPr>
            <w:tcW w:w="3021" w:type="dxa"/>
            <w:tcBorders>
              <w:top w:val="nil"/>
              <w:left w:val="nil"/>
              <w:bottom w:val="nil"/>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厦门国际银行股份有限公司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p>
        </w:tc>
        <w:tc>
          <w:tcPr>
            <w:tcW w:w="3428" w:type="dxa"/>
            <w:tcBorders>
              <w:top w:val="nil"/>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柳州银行股份有限公司</w:t>
            </w:r>
          </w:p>
        </w:tc>
        <w:tc>
          <w:tcPr>
            <w:tcW w:w="3021"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广西北部湾银行股份有限公司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lang w:val="en-US" w:eastAsia="zh-CN"/>
              </w:rPr>
            </w:pPr>
            <w:r>
              <w:rPr>
                <w:rFonts w:hint="eastAsia" w:ascii="楷体" w:hAnsi="楷体" w:eastAsia="楷体" w:cs="宋体"/>
                <w:spacing w:val="-2"/>
                <w:sz w:val="21"/>
                <w:szCs w:val="21"/>
                <w:lang w:eastAsia="zh-CN"/>
              </w:rPr>
              <w:t>芙蓉锦程·优选</w:t>
            </w:r>
            <w:r>
              <w:rPr>
                <w:rFonts w:hint="eastAsia" w:ascii="楷体" w:hAnsi="楷体" w:eastAsia="楷体" w:cs="宋体"/>
                <w:spacing w:val="-2"/>
                <w:sz w:val="21"/>
                <w:szCs w:val="21"/>
                <w:lang w:val="en-US" w:eastAsia="zh-CN"/>
              </w:rPr>
              <w:t>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成都银行股份有限公司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广西北部湾银行股份有限公司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214"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ZJ份额</w:t>
            </w:r>
          </w:p>
        </w:tc>
        <w:tc>
          <w:tcPr>
            <w:tcW w:w="2012" w:type="pct"/>
            <w:tcBorders>
              <w:top w:val="single" w:color="auto" w:sz="4" w:space="0"/>
              <w:left w:val="single" w:color="auto" w:sz="4" w:space="0"/>
              <w:bottom w:val="single" w:color="auto" w:sz="4" w:space="0"/>
              <w:right w:val="nil"/>
            </w:tcBorders>
            <w:noWrap/>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江苏紫金农村商业银行股份有限公司</w:t>
            </w:r>
          </w:p>
        </w:tc>
        <w:tc>
          <w:tcPr>
            <w:tcW w:w="1772"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p>
        </w:tc>
      </w:tr>
    </w:tbl>
    <w:p>
      <w:pPr>
        <w:ind w:firstLine="480" w:firstLineChars="200"/>
        <w:rPr>
          <w:rFonts w:hint="eastAsia" w:ascii="楷体" w:hAnsi="楷体" w:eastAsia="楷体"/>
          <w:sz w:val="24"/>
          <w:szCs w:val="24"/>
        </w:rPr>
      </w:pPr>
      <w:bookmarkStart w:id="0" w:name="_GoBack"/>
      <w:bookmarkEnd w:id="0"/>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spacing w:line="0" w:lineRule="atLeast"/>
              <w:jc w:val="center"/>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w:t>
            </w:r>
          </w:p>
        </w:tc>
        <w:tc>
          <w:tcPr>
            <w:tcW w:w="2919" w:type="pct"/>
            <w:noWrap w:val="0"/>
            <w:vAlign w:val="top"/>
          </w:tcPr>
          <w:p>
            <w:pPr>
              <w:spacing w:line="0" w:lineRule="atLeast"/>
              <w:jc w:val="left"/>
              <w:rPr>
                <w:rFonts w:hint="eastAsia" w:ascii="楷体" w:hAnsi="楷体" w:eastAsia="楷体" w:cs="Times New Roman"/>
                <w:b w:val="0"/>
                <w:bCs w:val="0"/>
                <w:sz w:val="20"/>
                <w:szCs w:val="18"/>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泰康资产管理有限责任公司成立于2006年，注册资本10亿元，是泰康保险集团子公司。截至2021年12月31日，公司管理资产总规模超过27000亿元，其中受托管理的第三方资产总规模近17000亿元，另类投资管理规模超5000亿元，养老金管理规模超6400亿元。2022年，泰康资产在“欧洲养老金与投资IPE”发布的“2022全球资管500强”名单中排名全球第75位，中国第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w:t>
            </w:r>
          </w:p>
        </w:tc>
        <w:tc>
          <w:tcPr>
            <w:tcW w:w="2919"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华泰证券（上海）资产管理有限公司成立于2014年10月16日，系经中国证监会批准（证监许可【2014】679号），由华泰证券股份有限公司100%控股设立，注册资本26亿元。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w:t>
            </w:r>
          </w:p>
        </w:tc>
        <w:tc>
          <w:tcPr>
            <w:tcW w:w="2919"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2919"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2919" w:type="pct"/>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highlight w:val="none"/>
        </w:rPr>
      </w:pPr>
      <w:r>
        <w:rPr>
          <w:rFonts w:hint="eastAsia" w:ascii="楷体" w:hAnsi="楷体" w:eastAsia="楷体"/>
          <w:sz w:val="24"/>
          <w:szCs w:val="24"/>
          <w:highlight w:val="none"/>
        </w:rPr>
        <w:t>产品存续期内合作机构如有变化，管理人将按照监管规定和内部管理制度要</w:t>
      </w:r>
    </w:p>
    <w:p>
      <w:pPr>
        <w:tabs>
          <w:tab w:val="left" w:pos="1134"/>
        </w:tabs>
        <w:rPr>
          <w:rFonts w:hint="eastAsia" w:ascii="楷体" w:hAnsi="楷体" w:eastAsia="楷体"/>
          <w:sz w:val="28"/>
          <w:szCs w:val="28"/>
        </w:rPr>
      </w:pPr>
      <w:r>
        <w:rPr>
          <w:rFonts w:hint="eastAsia" w:ascii="楷体" w:hAnsi="楷体" w:eastAsia="楷体"/>
          <w:sz w:val="24"/>
          <w:szCs w:val="24"/>
          <w:highlight w:val="none"/>
        </w:rPr>
        <w:t>求对合作机构进行准入，签署相关协议后，</w:t>
      </w:r>
      <w:r>
        <w:rPr>
          <w:rFonts w:hint="eastAsia" w:ascii="楷体" w:hAnsi="楷体" w:eastAsia="楷体"/>
          <w:sz w:val="24"/>
          <w:szCs w:val="24"/>
          <w:highlight w:val="none"/>
          <w:lang w:val="en-US" w:eastAsia="zh-CN"/>
        </w:rPr>
        <w:t>披露新增的投资合作机构</w:t>
      </w:r>
      <w:r>
        <w:rPr>
          <w:rFonts w:hint="eastAsia" w:ascii="楷体" w:hAnsi="楷体" w:eastAsia="楷体"/>
          <w:sz w:val="24"/>
          <w:szCs w:val="24"/>
          <w:highlight w:val="none"/>
          <w:lang w:eastAsia="zh-CN"/>
        </w:rPr>
        <w:t>。</w:t>
      </w: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1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5"/>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1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1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w:t>
      </w:r>
      <w:r>
        <w:rPr>
          <w:rFonts w:hint="eastAsia" w:ascii="楷体" w:hAnsi="楷体" w:eastAsia="楷体" w:cs="Calibri"/>
          <w:sz w:val="24"/>
          <w:szCs w:val="24"/>
          <w:highlight w:val="none"/>
          <w:lang w:val="en-US" w:eastAsia="zh-CN"/>
        </w:rPr>
        <w:t>日申季持1号</w:t>
      </w:r>
      <w:r>
        <w:rPr>
          <w:rFonts w:hint="eastAsia" w:ascii="楷体" w:hAnsi="楷体" w:eastAsia="楷体" w:cs="Calibri"/>
          <w:sz w:val="24"/>
          <w:szCs w:val="24"/>
          <w:highlight w:val="none"/>
        </w:rPr>
        <w:t>”理财产品。</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产品负债总值：指产品运作及融资时形成的负债价值总和，包括融资资金本息、应付各项费用（包括托管费、销售服务费、投资管理费、超额业绩报酬、其他费用等）、应付税金及其他应付款项等。</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6"/>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14"/>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9"/>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19"/>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w:t>
      </w:r>
    </w:p>
    <w:p>
      <w:pPr>
        <w:numPr>
          <w:ilvl w:val="0"/>
          <w:numId w:val="0"/>
        </w:numPr>
        <w:tabs>
          <w:tab w:val="left" w:pos="728"/>
        </w:tabs>
        <w:rPr>
          <w:rFonts w:hint="eastAsia" w:ascii="楷体" w:hAnsi="楷体" w:eastAsia="楷体" w:cs="Calibri"/>
          <w:sz w:val="24"/>
          <w:szCs w:val="24"/>
        </w:rPr>
      </w:pPr>
      <w:r>
        <w:rPr>
          <w:rFonts w:hint="eastAsia" w:ascii="楷体" w:hAnsi="楷体" w:eastAsia="楷体" w:cs="Calibri"/>
          <w:sz w:val="24"/>
          <w:szCs w:val="24"/>
          <w:highlight w:val="none"/>
          <w:lang w:val="en-US" w:eastAsia="zh-CN"/>
        </w:rPr>
        <w:t>和延迟等。</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2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投资集中度限制</w:t>
      </w:r>
    </w:p>
    <w:p>
      <w:pPr>
        <w:numPr>
          <w:ilvl w:val="0"/>
          <w:numId w:val="21"/>
        </w:numPr>
        <w:tabs>
          <w:tab w:val="left" w:pos="728"/>
          <w:tab w:val="clear" w:pos="312"/>
        </w:tabs>
        <w:ind w:left="420" w:leftChars="200"/>
        <w:rPr>
          <w:rFonts w:hint="eastAsia"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20"/>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2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2"/>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认购期间：2</w:t>
      </w:r>
      <w:r>
        <w:rPr>
          <w:rFonts w:ascii="楷体" w:hAnsi="楷体" w:eastAsia="楷体" w:cs="Calibri"/>
          <w:sz w:val="24"/>
          <w:szCs w:val="24"/>
        </w:rPr>
        <w:t>021</w:t>
      </w:r>
      <w:r>
        <w:rPr>
          <w:rFonts w:hint="eastAsia" w:ascii="楷体" w:hAnsi="楷体" w:eastAsia="楷体" w:cs="Calibri"/>
          <w:sz w:val="24"/>
          <w:szCs w:val="24"/>
        </w:rPr>
        <w:t>年7月27日9:00至2</w:t>
      </w:r>
      <w:r>
        <w:rPr>
          <w:rFonts w:ascii="楷体" w:hAnsi="楷体" w:eastAsia="楷体" w:cs="Calibri"/>
          <w:sz w:val="24"/>
          <w:szCs w:val="24"/>
        </w:rPr>
        <w:t>021</w:t>
      </w:r>
      <w:r>
        <w:rPr>
          <w:rFonts w:hint="eastAsia" w:ascii="楷体" w:hAnsi="楷体" w:eastAsia="楷体" w:cs="Calibri"/>
          <w:sz w:val="24"/>
          <w:szCs w:val="24"/>
        </w:rPr>
        <w:t>年7月29日17:00。</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83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G</w:t>
            </w:r>
          </w:p>
        </w:tc>
        <w:tc>
          <w:tcPr>
            <w:tcW w:w="1404" w:type="dxa"/>
            <w:noWrap w:val="0"/>
            <w:vAlign w:val="center"/>
          </w:tcPr>
          <w:p>
            <w:pPr>
              <w:tabs>
                <w:tab w:val="left" w:pos="993"/>
              </w:tabs>
              <w:jc w:val="center"/>
              <w:rPr>
                <w:rFonts w:hint="default" w:ascii="楷体" w:hAnsi="楷体" w:eastAsia="楷体" w:cs="Calibri"/>
                <w:szCs w:val="21"/>
                <w:lang w:val="en-US" w:eastAsia="zh-CN"/>
              </w:rPr>
            </w:pPr>
            <w:r>
              <w:rPr>
                <w:rFonts w:ascii="楷体" w:hAnsi="楷体" w:eastAsia="楷体" w:cs="Calibri"/>
                <w:szCs w:val="21"/>
              </w:rPr>
              <w:t>J0</w:t>
            </w:r>
            <w:r>
              <w:rPr>
                <w:rFonts w:hint="eastAsia" w:ascii="楷体" w:hAnsi="楷体" w:eastAsia="楷体" w:cs="Calibri"/>
                <w:szCs w:val="21"/>
                <w:lang w:val="en-US" w:eastAsia="zh-CN"/>
              </w:rPr>
              <w:t>2228</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（芙蓉锦程·优选）</w:t>
            </w:r>
          </w:p>
        </w:tc>
        <w:tc>
          <w:tcPr>
            <w:tcW w:w="1404"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J03611</w:t>
            </w:r>
          </w:p>
        </w:tc>
        <w:tc>
          <w:tcPr>
            <w:tcW w:w="1834"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北部湾银行专属</w:t>
            </w:r>
            <w:r>
              <w:rPr>
                <w:rFonts w:hint="eastAsia" w:ascii="楷体" w:hAnsi="楷体" w:eastAsia="楷体" w:cs="宋体"/>
                <w:spacing w:val="-2"/>
                <w:szCs w:val="21"/>
                <w:lang w:eastAsia="zh-CN"/>
              </w:rPr>
              <w:t>）</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J03830</w:t>
            </w:r>
          </w:p>
        </w:tc>
        <w:tc>
          <w:tcPr>
            <w:tcW w:w="183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301"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0</w:t>
            </w:r>
            <w:r>
              <w:rPr>
                <w:rFonts w:ascii="楷体" w:hAnsi="楷体" w:eastAsia="楷体" w:cs="宋体"/>
                <w:spacing w:val="-2"/>
                <w:szCs w:val="21"/>
              </w:rPr>
              <w:t>.</w:t>
            </w:r>
            <w:r>
              <w:rPr>
                <w:rFonts w:hint="eastAsia" w:ascii="楷体" w:hAnsi="楷体" w:eastAsia="楷体" w:cs="宋体"/>
                <w:spacing w:val="-2"/>
                <w:szCs w:val="21"/>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default"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val="en-US" w:eastAsia="zh-CN"/>
              </w:rPr>
              <w:t>ZJ</w:t>
            </w:r>
          </w:p>
        </w:tc>
        <w:tc>
          <w:tcPr>
            <w:tcW w:w="1404"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J07599</w:t>
            </w:r>
          </w:p>
        </w:tc>
        <w:tc>
          <w:tcPr>
            <w:tcW w:w="1834"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50万</w:t>
            </w:r>
            <w:r>
              <w:rPr>
                <w:rFonts w:hint="eastAsia" w:ascii="楷体" w:hAnsi="楷体" w:eastAsia="楷体" w:cs="Calibri"/>
                <w:szCs w:val="21"/>
              </w:rPr>
              <w:t>元</w:t>
            </w:r>
          </w:p>
        </w:tc>
        <w:tc>
          <w:tcPr>
            <w:tcW w:w="2301"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1万</w:t>
            </w:r>
            <w:r>
              <w:rPr>
                <w:rFonts w:hint="eastAsia" w:ascii="楷体" w:hAnsi="楷体" w:eastAsia="楷体" w:cs="宋体"/>
                <w:spacing w:val="-2"/>
                <w:szCs w:val="21"/>
              </w:rPr>
              <w:t>元的整数倍</w:t>
            </w:r>
          </w:p>
        </w:tc>
      </w:tr>
    </w:tbl>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79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2932" w:type="dxa"/>
            <w:noWrap w:val="0"/>
            <w:vAlign w:val="center"/>
          </w:tcPr>
          <w:p>
            <w:pPr>
              <w:rPr>
                <w:rFonts w:hint="eastAsia" w:ascii="楷体" w:hAnsi="楷体" w:eastAsia="楷体" w:cs="Calibri"/>
                <w:szCs w:val="21"/>
              </w:rPr>
            </w:pPr>
            <w:r>
              <w:rPr>
                <w:rFonts w:hint="eastAsia" w:ascii="楷体" w:hAnsi="楷体" w:eastAsia="楷体" w:cs="Calibri"/>
                <w:szCs w:val="21"/>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lang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G</w:t>
            </w:r>
          </w:p>
        </w:tc>
        <w:tc>
          <w:tcPr>
            <w:tcW w:w="1790" w:type="dxa"/>
            <w:noWrap w:val="0"/>
            <w:vAlign w:val="center"/>
          </w:tcPr>
          <w:p>
            <w:pPr>
              <w:tabs>
                <w:tab w:val="left" w:pos="993"/>
              </w:tabs>
              <w:jc w:val="center"/>
              <w:rPr>
                <w:rFonts w:hint="default" w:ascii="楷体" w:hAnsi="楷体" w:eastAsia="楷体" w:cs="Calibri"/>
                <w:szCs w:val="21"/>
                <w:lang w:val="en-US" w:eastAsia="zh-CN"/>
              </w:rPr>
            </w:pPr>
            <w:r>
              <w:rPr>
                <w:rFonts w:ascii="楷体" w:hAnsi="楷体" w:eastAsia="楷体" w:cs="Calibri"/>
                <w:szCs w:val="21"/>
              </w:rPr>
              <w:t>J0</w:t>
            </w:r>
            <w:r>
              <w:rPr>
                <w:rFonts w:hint="eastAsia" w:ascii="楷体" w:hAnsi="楷体" w:eastAsia="楷体" w:cs="Calibri"/>
                <w:szCs w:val="21"/>
                <w:lang w:val="en-US" w:eastAsia="zh-CN"/>
              </w:rPr>
              <w:t>2228</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lang w:val="en-US" w:eastAsia="zh-CN"/>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（芙蓉锦程·优选）</w:t>
            </w:r>
          </w:p>
        </w:tc>
        <w:tc>
          <w:tcPr>
            <w:tcW w:w="179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J03611</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北部湾银行专属</w:t>
            </w:r>
            <w:r>
              <w:rPr>
                <w:rFonts w:hint="eastAsia" w:ascii="楷体" w:hAnsi="楷体" w:eastAsia="楷体" w:cs="宋体"/>
                <w:spacing w:val="-2"/>
                <w:szCs w:val="21"/>
                <w:lang w:eastAsia="zh-CN"/>
              </w:rPr>
              <w:t>）</w:t>
            </w:r>
          </w:p>
        </w:tc>
        <w:tc>
          <w:tcPr>
            <w:tcW w:w="179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J03830</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苏银理财</w:t>
            </w:r>
            <w:r>
              <w:rPr>
                <w:rFonts w:hint="eastAsia" w:ascii="楷体" w:hAnsi="楷体" w:eastAsia="楷体" w:cs="宋体"/>
                <w:spacing w:val="-2"/>
                <w:szCs w:val="21"/>
              </w:rPr>
              <w:t>恒源日申季持1号</w:t>
            </w:r>
            <w:r>
              <w:rPr>
                <w:rFonts w:hint="eastAsia" w:ascii="楷体" w:hAnsi="楷体" w:eastAsia="楷体" w:cs="宋体"/>
                <w:spacing w:val="-2"/>
                <w:szCs w:val="21"/>
                <w:lang w:val="en-US" w:eastAsia="zh-CN"/>
              </w:rPr>
              <w:t>ZJ</w:t>
            </w:r>
          </w:p>
        </w:tc>
        <w:tc>
          <w:tcPr>
            <w:tcW w:w="179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J07599</w:t>
            </w:r>
          </w:p>
        </w:tc>
        <w:tc>
          <w:tcPr>
            <w:tcW w:w="2932"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暂无</w:t>
            </w:r>
          </w:p>
        </w:tc>
      </w:tr>
    </w:tbl>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认购份额登记日：本理财产品于2</w:t>
      </w:r>
      <w:r>
        <w:rPr>
          <w:rFonts w:ascii="楷体" w:hAnsi="楷体" w:eastAsia="楷体" w:cs="Calibri"/>
          <w:sz w:val="24"/>
          <w:szCs w:val="24"/>
        </w:rPr>
        <w:t>021</w:t>
      </w:r>
      <w:r>
        <w:rPr>
          <w:rFonts w:hint="eastAsia" w:ascii="楷体" w:hAnsi="楷体" w:eastAsia="楷体" w:cs="Calibri"/>
          <w:sz w:val="24"/>
          <w:szCs w:val="24"/>
        </w:rPr>
        <w:t>年7月30日进行份额登记。</w:t>
      </w:r>
    </w:p>
    <w:p>
      <w:pPr>
        <w:numPr>
          <w:ilvl w:val="0"/>
          <w:numId w:val="2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2"/>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产品申购、赎回</w:t>
      </w:r>
    </w:p>
    <w:p>
      <w:pPr>
        <w:numPr>
          <w:ilvl w:val="0"/>
          <w:numId w:val="23"/>
        </w:numPr>
        <w:tabs>
          <w:tab w:val="left" w:pos="993"/>
        </w:tabs>
        <w:ind w:left="0" w:firstLine="480" w:firstLineChars="200"/>
        <w:outlineLvl w:val="2"/>
        <w:rPr>
          <w:rFonts w:hint="eastAsia" w:ascii="楷体" w:hAnsi="楷体" w:eastAsia="楷体" w:cs="Calibri"/>
          <w:sz w:val="24"/>
          <w:szCs w:val="24"/>
        </w:rPr>
      </w:pPr>
      <w:r>
        <w:rPr>
          <w:rFonts w:hint="eastAsia" w:ascii="楷体" w:hAnsi="楷体" w:eastAsia="楷体" w:cs="Calibri"/>
          <w:sz w:val="24"/>
          <w:szCs w:val="24"/>
        </w:rPr>
        <w:t>申购</w:t>
      </w:r>
      <w:r>
        <w:rPr>
          <w:rFonts w:ascii="楷体" w:hAnsi="楷体" w:eastAsia="楷体" w:cs="Calibri"/>
          <w:sz w:val="24"/>
          <w:szCs w:val="24"/>
        </w:rPr>
        <w:t>及申购资金的清算</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申购期：</w:t>
      </w:r>
      <w:r>
        <w:rPr>
          <w:rFonts w:hint="eastAsia" w:ascii="楷体" w:hAnsi="楷体" w:eastAsia="楷体" w:cs="Calibri"/>
          <w:sz w:val="24"/>
          <w:szCs w:val="24"/>
          <w:highlight w:val="none"/>
        </w:rPr>
        <w:t>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申购原则</w:t>
      </w:r>
    </w:p>
    <w:p>
      <w:pPr>
        <w:numPr>
          <w:ilvl w:val="0"/>
          <w:numId w:val="2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“未知价”原则：投资者申购本理财产品时，采用“未知价”原则，以</w:t>
      </w:r>
      <w:r>
        <w:rPr>
          <w:rFonts w:hint="eastAsia" w:ascii="楷体" w:hAnsi="楷体" w:eastAsia="楷体" w:cs="Calibri"/>
          <w:sz w:val="24"/>
          <w:szCs w:val="24"/>
          <w:lang w:val="en-US" w:eastAsia="zh-CN"/>
        </w:rPr>
        <w:t>投资者</w:t>
      </w:r>
      <w:r>
        <w:rPr>
          <w:rFonts w:hint="eastAsia" w:ascii="楷体" w:hAnsi="楷体" w:eastAsia="楷体" w:cs="Calibri"/>
          <w:sz w:val="24"/>
          <w:szCs w:val="24"/>
        </w:rPr>
        <w:t>申购受理日当日产品单位净值为准计算申购份额。</w:t>
      </w:r>
    </w:p>
    <w:p>
      <w:pPr>
        <w:numPr>
          <w:ilvl w:val="0"/>
          <w:numId w:val="2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受理日</w:t>
      </w:r>
      <w:r>
        <w:rPr>
          <w:rFonts w:hint="eastAsia" w:ascii="楷体" w:hAnsi="楷体" w:eastAsia="楷体" w:cs="Calibri"/>
          <w:sz w:val="24"/>
          <w:szCs w:val="24"/>
          <w:lang w:eastAsia="zh-CN"/>
        </w:rPr>
        <w:t>）</w:t>
      </w:r>
      <w:r>
        <w:rPr>
          <w:rFonts w:hint="eastAsia" w:ascii="楷体" w:hAnsi="楷体" w:eastAsia="楷体" w:cs="Calibri"/>
          <w:sz w:val="24"/>
          <w:szCs w:val="24"/>
        </w:rPr>
        <w:t>产品单位净值。</w:t>
      </w:r>
    </w:p>
    <w:p>
      <w:pPr>
        <w:numPr>
          <w:ilvl w:val="0"/>
          <w:numId w:val="2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27"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受理时间及方式</w:t>
            </w:r>
          </w:p>
        </w:tc>
        <w:tc>
          <w:tcPr>
            <w:tcW w:w="2493"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lang w:eastAsia="zh-CN"/>
              </w:rPr>
            </w:pPr>
            <w:r>
              <w:rPr>
                <w:rFonts w:hint="eastAsia" w:ascii="楷体" w:hAnsi="楷体" w:eastAsia="楷体" w:cs="Calibri"/>
                <w:szCs w:val="21"/>
              </w:rPr>
              <w:t>T日</w:t>
            </w:r>
            <w:r>
              <w:rPr>
                <w:rFonts w:ascii="楷体" w:hAnsi="楷体" w:eastAsia="楷体" w:cs="Calibri"/>
                <w:szCs w:val="21"/>
              </w:rPr>
              <w:t>0</w:t>
            </w:r>
            <w:r>
              <w:rPr>
                <w:rFonts w:hint="eastAsia" w:ascii="楷体" w:hAnsi="楷体" w:eastAsia="楷体" w:cs="Calibri"/>
                <w:szCs w:val="21"/>
              </w:rPr>
              <w:t>:</w:t>
            </w:r>
            <w:r>
              <w:rPr>
                <w:rFonts w:ascii="楷体" w:hAnsi="楷体" w:eastAsia="楷体" w:cs="Calibri"/>
                <w:szCs w:val="21"/>
              </w:rPr>
              <w:t>00-</w:t>
            </w:r>
            <w:r>
              <w:rPr>
                <w:rFonts w:hint="eastAsia" w:ascii="楷体" w:hAnsi="楷体" w:eastAsia="楷体" w:cs="Calibri"/>
                <w:szCs w:val="21"/>
                <w:lang w:eastAsia="zh-CN"/>
              </w:rPr>
              <w:t>17:00</w:t>
            </w:r>
          </w:p>
          <w:p>
            <w:pPr>
              <w:tabs>
                <w:tab w:val="left" w:pos="728"/>
                <w:tab w:val="left" w:pos="1092"/>
              </w:tabs>
              <w:jc w:val="center"/>
              <w:rPr>
                <w:rFonts w:hint="eastAsia"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T日系统实时受理并冻结资金</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T日</w:t>
            </w:r>
            <w:r>
              <w:rPr>
                <w:rFonts w:ascii="楷体" w:hAnsi="楷体" w:eastAsia="楷体" w:cs="Calibri"/>
                <w:szCs w:val="21"/>
              </w:rPr>
              <w:t>24</w:t>
            </w:r>
            <w:r>
              <w:rPr>
                <w:rFonts w:hint="eastAsia" w:ascii="楷体" w:hAnsi="楷体" w:eastAsia="楷体" w:cs="Calibri"/>
                <w:szCs w:val="21"/>
              </w:rPr>
              <w:t>:</w:t>
            </w:r>
            <w:r>
              <w:rPr>
                <w:rFonts w:ascii="楷体" w:hAnsi="楷体" w:eastAsia="楷体" w:cs="Calibri"/>
                <w:szCs w:val="21"/>
              </w:rPr>
              <w:t>00</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（T日为交易所工作日）</w:t>
            </w:r>
          </w:p>
        </w:tc>
        <w:tc>
          <w:tcPr>
            <w:tcW w:w="3227"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rPr>
            </w:pPr>
            <w:r>
              <w:rPr>
                <w:rFonts w:hint="eastAsia" w:ascii="楷体" w:hAnsi="楷体" w:eastAsia="楷体" w:cs="Calibri"/>
                <w:szCs w:val="21"/>
              </w:rPr>
              <w:t>T日后第二个工作日系统日启后</w:t>
            </w:r>
          </w:p>
        </w:tc>
      </w:tr>
    </w:tbl>
    <w:p>
      <w:pPr>
        <w:tabs>
          <w:tab w:val="left" w:pos="728"/>
          <w:tab w:val="left" w:pos="1092"/>
        </w:tabs>
        <w:ind w:firstLine="480" w:firstLineChars="200"/>
        <w:rPr>
          <w:rFonts w:ascii="楷体" w:hAnsi="楷体" w:eastAsia="楷体" w:cs="Calibri"/>
          <w:sz w:val="24"/>
          <w:szCs w:val="24"/>
        </w:rPr>
      </w:pPr>
      <w:r>
        <w:rPr>
          <w:rFonts w:ascii="楷体" w:hAnsi="楷体" w:eastAsia="楷体" w:cs="Calibri"/>
          <w:sz w:val="24"/>
          <w:szCs w:val="24"/>
        </w:rPr>
        <w:t>假设周一至周五为</w:t>
      </w:r>
      <w:r>
        <w:rPr>
          <w:rFonts w:hint="eastAsia" w:ascii="楷体" w:hAnsi="楷体" w:eastAsia="楷体" w:cs="Calibri"/>
          <w:sz w:val="24"/>
          <w:szCs w:val="24"/>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rPr>
            </w:pPr>
            <w:r>
              <w:rPr>
                <w:rFonts w:hint="eastAsia" w:ascii="楷体" w:hAnsi="楷体" w:eastAsia="楷体" w:cs="Calibri"/>
                <w:b/>
                <w:sz w:val="24"/>
                <w:szCs w:val="24"/>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周一0:0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周一</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周二0:0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周三</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周二</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周三0:0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周四</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周三</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周四0:0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周五</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周四</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lang w:eastAsia="zh-CN"/>
              </w:rPr>
            </w:pPr>
            <w:r>
              <w:rPr>
                <w:rFonts w:hint="eastAsia" w:ascii="楷体" w:hAnsi="楷体" w:eastAsia="楷体" w:cs="Calibri"/>
                <w:sz w:val="24"/>
                <w:szCs w:val="24"/>
              </w:rPr>
              <w:t>周五0:0</w:t>
            </w:r>
            <w:r>
              <w:rPr>
                <w:rFonts w:ascii="楷体" w:hAnsi="楷体" w:eastAsia="楷体" w:cs="Calibri"/>
                <w:sz w:val="24"/>
                <w:szCs w:val="24"/>
              </w:rPr>
              <w:t>0</w:t>
            </w:r>
            <w:r>
              <w:rPr>
                <w:rFonts w:hint="eastAsia" w:ascii="楷体" w:hAnsi="楷体" w:eastAsia="楷体" w:cs="Calibri"/>
                <w:sz w:val="24"/>
                <w:szCs w:val="24"/>
              </w:rPr>
              <w:t>-</w:t>
            </w:r>
            <w:r>
              <w:rPr>
                <w:rFonts w:hint="eastAsia" w:ascii="楷体" w:hAnsi="楷体" w:eastAsia="楷体" w:cs="Calibri"/>
                <w:sz w:val="24"/>
                <w:szCs w:val="24"/>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下周一</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周五</w:t>
            </w:r>
            <w:r>
              <w:rPr>
                <w:rFonts w:hint="eastAsia" w:ascii="楷体" w:hAnsi="楷体" w:eastAsia="楷体" w:cs="Calibri"/>
                <w:sz w:val="24"/>
                <w:szCs w:val="24"/>
                <w:lang w:eastAsia="zh-CN"/>
              </w:rPr>
              <w:t>17:00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周六0:0</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0"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c>
          <w:tcPr>
            <w:tcW w:w="2131" w:type="dxa"/>
            <w:noWrap w:val="0"/>
            <w:vAlign w:val="top"/>
          </w:tcPr>
          <w:p>
            <w:pPr>
              <w:tabs>
                <w:tab w:val="left" w:pos="728"/>
                <w:tab w:val="left" w:pos="1092"/>
              </w:tabs>
              <w:rPr>
                <w:rFonts w:hint="eastAsia" w:ascii="楷体" w:hAnsi="楷体" w:eastAsia="楷体" w:cs="Calibri"/>
                <w:sz w:val="24"/>
                <w:szCs w:val="24"/>
              </w:rPr>
            </w:pPr>
            <w:r>
              <w:rPr>
                <w:rFonts w:hint="eastAsia" w:ascii="楷体" w:hAnsi="楷体" w:eastAsia="楷体" w:cs="Calibri"/>
                <w:sz w:val="24"/>
                <w:szCs w:val="24"/>
              </w:rPr>
              <w:t xml:space="preserve">周日 </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00</w:t>
            </w:r>
            <w:r>
              <w:rPr>
                <w:rFonts w:hint="eastAsia" w:ascii="楷体" w:hAnsi="楷体" w:eastAsia="楷体" w:cs="Calibri"/>
                <w:sz w:val="24"/>
                <w:szCs w:val="24"/>
              </w:rPr>
              <w:t>-</w:t>
            </w:r>
            <w:r>
              <w:rPr>
                <w:rFonts w:ascii="楷体" w:hAnsi="楷体" w:eastAsia="楷体" w:cs="Calibri"/>
                <w:sz w:val="24"/>
                <w:szCs w:val="24"/>
              </w:rPr>
              <w:t>24</w:t>
            </w:r>
            <w:r>
              <w:rPr>
                <w:rFonts w:hint="eastAsia" w:ascii="楷体" w:hAnsi="楷体" w:eastAsia="楷体" w:cs="Calibri"/>
                <w:sz w:val="24"/>
                <w:szCs w:val="24"/>
              </w:rPr>
              <w:t>:</w:t>
            </w:r>
            <w:r>
              <w:rPr>
                <w:rFonts w:ascii="楷体" w:hAnsi="楷体" w:eastAsia="楷体" w:cs="Calibri"/>
                <w:sz w:val="24"/>
                <w:szCs w:val="24"/>
              </w:rPr>
              <w:t>00</w:t>
            </w:r>
          </w:p>
        </w:tc>
        <w:tc>
          <w:tcPr>
            <w:tcW w:w="2131" w:type="dxa"/>
            <w:noWrap w:val="0"/>
            <w:vAlign w:val="top"/>
          </w:tcPr>
          <w:p>
            <w:pPr>
              <w:tabs>
                <w:tab w:val="left" w:pos="728"/>
                <w:tab w:val="left" w:pos="1092"/>
              </w:tabs>
              <w:jc w:val="center"/>
              <w:rPr>
                <w:rFonts w:hint="eastAsia" w:ascii="楷体" w:hAnsi="楷体" w:eastAsia="楷体" w:cs="Calibri"/>
                <w:sz w:val="24"/>
                <w:szCs w:val="24"/>
              </w:rPr>
            </w:pPr>
            <w:r>
              <w:rPr>
                <w:rFonts w:hint="eastAsia" w:ascii="楷体" w:hAnsi="楷体" w:eastAsia="楷体" w:cs="Calibri"/>
                <w:sz w:val="24"/>
                <w:szCs w:val="24"/>
              </w:rPr>
              <w:t>下周二</w:t>
            </w:r>
          </w:p>
        </w:tc>
      </w:tr>
    </w:tbl>
    <w:p>
      <w:pPr>
        <w:tabs>
          <w:tab w:val="left" w:pos="728"/>
          <w:tab w:val="left" w:pos="1092"/>
        </w:tabs>
        <w:ind w:firstLine="480" w:firstLineChars="200"/>
        <w:rPr>
          <w:rFonts w:hint="eastAsia" w:ascii="楷体" w:hAnsi="楷体" w:eastAsia="楷体" w:cs="Calibri"/>
          <w:sz w:val="24"/>
          <w:szCs w:val="24"/>
        </w:rPr>
      </w:pP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sz w:val="24"/>
          <w:szCs w:val="24"/>
          <w:highlight w:val="none"/>
        </w:rPr>
        <w:t>苏银理财不计付在途资金从冻结日至份额确认日间的利息。</w:t>
      </w:r>
    </w:p>
    <w:p>
      <w:pPr>
        <w:numPr>
          <w:ilvl w:val="0"/>
          <w:numId w:val="24"/>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申购撤单</w:t>
      </w:r>
    </w:p>
    <w:p>
      <w:pPr>
        <w:numPr>
          <w:ilvl w:val="0"/>
          <w:numId w:val="2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0</w:t>
      </w:r>
      <w:r>
        <w:rPr>
          <w:rFonts w:hint="eastAsia" w:ascii="楷体" w:hAnsi="楷体" w:eastAsia="楷体" w:cs="Calibri"/>
          <w:sz w:val="24"/>
          <w:szCs w:val="24"/>
        </w:rPr>
        <w:t>:00至</w:t>
      </w:r>
      <w:r>
        <w:rPr>
          <w:rFonts w:hint="eastAsia" w:ascii="楷体" w:hAnsi="楷体" w:eastAsia="楷体" w:cs="Calibri"/>
          <w:sz w:val="24"/>
          <w:szCs w:val="24"/>
          <w:lang w:eastAsia="zh-CN"/>
        </w:rPr>
        <w:t>17:00</w:t>
      </w:r>
      <w:r>
        <w:rPr>
          <w:rFonts w:hint="eastAsia" w:ascii="楷体" w:hAnsi="楷体" w:eastAsia="楷体" w:cs="Calibri"/>
          <w:sz w:val="24"/>
          <w:szCs w:val="24"/>
        </w:rPr>
        <w:t>提交的申购申请，投资者可在当日</w:t>
      </w:r>
      <w:r>
        <w:rPr>
          <w:rFonts w:hint="eastAsia" w:ascii="楷体" w:hAnsi="楷体" w:eastAsia="楷体" w:cs="Calibri"/>
          <w:sz w:val="24"/>
          <w:szCs w:val="24"/>
          <w:lang w:eastAsia="zh-CN"/>
        </w:rPr>
        <w:t>17:00</w:t>
      </w:r>
      <w:r>
        <w:rPr>
          <w:rFonts w:hint="eastAsia" w:ascii="楷体" w:hAnsi="楷体" w:eastAsia="楷体" w:cs="Calibri"/>
          <w:sz w:val="24"/>
          <w:szCs w:val="24"/>
        </w:rPr>
        <w:t>前提交撤单申请，系统受理并解除申购资金冻结，</w:t>
      </w:r>
      <w:r>
        <w:rPr>
          <w:rFonts w:hint="eastAsia" w:ascii="楷体" w:hAnsi="楷体" w:eastAsia="楷体" w:cs="Calibri"/>
          <w:sz w:val="24"/>
          <w:szCs w:val="24"/>
          <w:lang w:eastAsia="zh-CN"/>
        </w:rPr>
        <w:t>17:00</w:t>
      </w:r>
      <w:r>
        <w:rPr>
          <w:rFonts w:hint="eastAsia" w:ascii="楷体" w:hAnsi="楷体" w:eastAsia="楷体" w:cs="Calibri"/>
          <w:sz w:val="24"/>
          <w:szCs w:val="24"/>
        </w:rPr>
        <w:t>后已冻结的申购资金属于在途待确认份额状态，投资者无法提交撤单申请。</w:t>
      </w:r>
    </w:p>
    <w:p>
      <w:pPr>
        <w:numPr>
          <w:ilvl w:val="0"/>
          <w:numId w:val="26"/>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hint="eastAsia" w:ascii="楷体" w:hAnsi="楷体" w:eastAsia="楷体" w:cs="Calibri"/>
          <w:sz w:val="24"/>
          <w:szCs w:val="24"/>
          <w:lang w:eastAsia="zh-CN"/>
        </w:rPr>
        <w:t>17:00</w:t>
      </w:r>
      <w:r>
        <w:rPr>
          <w:rFonts w:hint="eastAsia" w:ascii="楷体" w:hAnsi="楷体" w:eastAsia="楷体" w:cs="Calibri"/>
          <w:sz w:val="24"/>
          <w:szCs w:val="24"/>
        </w:rPr>
        <w:t>至2</w:t>
      </w:r>
      <w:r>
        <w:rPr>
          <w:rFonts w:ascii="楷体" w:hAnsi="楷体" w:eastAsia="楷体" w:cs="Calibri"/>
          <w:sz w:val="24"/>
          <w:szCs w:val="24"/>
        </w:rPr>
        <w:t>4</w:t>
      </w:r>
      <w:r>
        <w:rPr>
          <w:rFonts w:hint="eastAsia" w:ascii="楷体" w:hAnsi="楷体" w:eastAsia="楷体" w:cs="Calibri"/>
          <w:sz w:val="24"/>
          <w:szCs w:val="24"/>
        </w:rPr>
        <w:t>:00前的申购申请为预约申请，在下一工作日</w:t>
      </w:r>
      <w:r>
        <w:rPr>
          <w:rFonts w:hint="eastAsia" w:ascii="楷体" w:hAnsi="楷体" w:eastAsia="楷体" w:cs="Calibri"/>
          <w:sz w:val="24"/>
          <w:szCs w:val="24"/>
          <w:lang w:eastAsia="zh-CN"/>
        </w:rPr>
        <w:t>17:00</w:t>
      </w:r>
      <w:r>
        <w:rPr>
          <w:rFonts w:hint="eastAsia" w:ascii="楷体" w:hAnsi="楷体" w:eastAsia="楷体" w:cs="Calibri"/>
          <w:sz w:val="24"/>
          <w:szCs w:val="24"/>
        </w:rPr>
        <w:t>前投资者均可提交撤单申请。</w:t>
      </w:r>
    </w:p>
    <w:p>
      <w:pPr>
        <w:numPr>
          <w:ilvl w:val="0"/>
          <w:numId w:val="23"/>
        </w:numPr>
        <w:tabs>
          <w:tab w:val="left" w:pos="993"/>
        </w:tabs>
        <w:ind w:left="0" w:firstLine="482" w:firstLineChars="200"/>
        <w:outlineLvl w:val="2"/>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27"/>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自动赎回时间：本产品以98天为1个投资周期，客户份额持有时间达到98天，系统自动发起赎回。</w:t>
      </w:r>
      <w:r>
        <w:rPr>
          <w:rFonts w:hint="eastAsia" w:ascii="楷体" w:hAnsi="楷体" w:eastAsia="楷体" w:cs="宋体"/>
          <w:b/>
          <w:spacing w:val="-2"/>
          <w:kern w:val="0"/>
          <w:sz w:val="24"/>
          <w:szCs w:val="24"/>
          <w:u w:val="single"/>
        </w:rPr>
        <w:t>如份额确认日对应的98天为非工作日，苏银理财将对自动赎回日进行动态调整，以管理人的公告和系统设置为准，在此情形下投资周期可能会略长于或短于98天</w:t>
      </w:r>
      <w:r>
        <w:rPr>
          <w:rFonts w:hint="eastAsia" w:ascii="楷体" w:hAnsi="楷体" w:eastAsia="楷体" w:cs="宋体"/>
          <w:spacing w:val="-2"/>
          <w:kern w:val="0"/>
          <w:sz w:val="24"/>
          <w:szCs w:val="24"/>
        </w:rPr>
        <w:t>。</w:t>
      </w:r>
    </w:p>
    <w:p>
      <w:pPr>
        <w:numPr>
          <w:ilvl w:val="0"/>
          <w:numId w:val="27"/>
        </w:numPr>
        <w:tabs>
          <w:tab w:val="left" w:pos="728"/>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赎回原则</w:t>
      </w:r>
    </w:p>
    <w:p>
      <w:pPr>
        <w:numPr>
          <w:ilvl w:val="0"/>
          <w:numId w:val="28"/>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“未知价”原则：投资者赎回本理财产品时，采用“未知价”原则，自动赎回时按实际赎回日前一工作日产品单位净值计算赎回兑付金额。</w:t>
      </w:r>
    </w:p>
    <w:p>
      <w:pPr>
        <w:numPr>
          <w:ilvl w:val="0"/>
          <w:numId w:val="2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2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赎回限制：</w:t>
      </w:r>
      <w:r>
        <w:rPr>
          <w:rFonts w:hint="eastAsia" w:ascii="楷体" w:hAnsi="楷体" w:eastAsia="楷体" w:cs="Calibri"/>
          <w:sz w:val="24"/>
          <w:szCs w:val="24"/>
          <w:lang w:val="en-US" w:eastAsia="zh-CN"/>
        </w:rPr>
        <w:t>自动</w:t>
      </w:r>
      <w:r>
        <w:rPr>
          <w:rFonts w:hint="eastAsia" w:ascii="楷体" w:hAnsi="楷体" w:eastAsia="楷体" w:cs="Calibri"/>
          <w:sz w:val="24"/>
          <w:szCs w:val="24"/>
        </w:rPr>
        <w:t>赎回不受</w:t>
      </w:r>
      <w:r>
        <w:rPr>
          <w:rFonts w:hint="eastAsia" w:ascii="楷体" w:hAnsi="楷体" w:eastAsia="楷体" w:cs="Calibri"/>
          <w:sz w:val="24"/>
          <w:szCs w:val="24"/>
          <w:lang w:val="en-US" w:eastAsia="zh-CN"/>
        </w:rPr>
        <w:t>巨</w:t>
      </w:r>
      <w:r>
        <w:rPr>
          <w:rFonts w:hint="eastAsia" w:ascii="楷体" w:hAnsi="楷体" w:eastAsia="楷体" w:cs="Calibri"/>
          <w:sz w:val="24"/>
          <w:szCs w:val="24"/>
        </w:rPr>
        <w:t>额赎回限制。</w:t>
      </w:r>
    </w:p>
    <w:p>
      <w:pPr>
        <w:numPr>
          <w:ilvl w:val="0"/>
          <w:numId w:val="28"/>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赎回资金到账：实际赎回日后2个工作日内到达投资者资金账户。</w:t>
      </w:r>
    </w:p>
    <w:p>
      <w:pPr>
        <w:numPr>
          <w:ilvl w:val="0"/>
          <w:numId w:val="23"/>
        </w:numPr>
        <w:tabs>
          <w:tab w:val="left" w:pos="993"/>
        </w:tabs>
        <w:ind w:left="0" w:firstLine="482" w:firstLineChars="200"/>
        <w:outlineLvl w:val="2"/>
        <w:rPr>
          <w:rFonts w:hint="eastAsia" w:ascii="楷体" w:hAnsi="楷体" w:eastAsia="楷体" w:cs="Calibri"/>
          <w:b/>
          <w:bCs w:val="0"/>
          <w:sz w:val="24"/>
          <w:szCs w:val="24"/>
          <w:highlight w:val="none"/>
        </w:rPr>
      </w:pPr>
      <w:r>
        <w:rPr>
          <w:rFonts w:hint="eastAsia" w:ascii="楷体" w:hAnsi="楷体" w:eastAsia="楷体" w:cs="Calibri"/>
          <w:b/>
          <w:bCs w:val="0"/>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产品估值</w:t>
      </w:r>
    </w:p>
    <w:p>
      <w:pPr>
        <w:numPr>
          <w:ilvl w:val="0"/>
          <w:numId w:val="29"/>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2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30"/>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2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2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3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申购份额=申购金额/申购受理日产品单位净值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3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自动赎回金额的计算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自动赎回金额=赎回份额*自动赎回</w:t>
      </w:r>
      <w:r>
        <w:rPr>
          <w:rFonts w:hint="eastAsia" w:ascii="楷体" w:hAnsi="楷体" w:eastAsia="楷体"/>
          <w:sz w:val="24"/>
          <w:szCs w:val="24"/>
          <w:lang w:val="en-US" w:eastAsia="zh-CN"/>
        </w:rPr>
        <w:t>确认</w:t>
      </w:r>
      <w:r>
        <w:rPr>
          <w:rFonts w:hint="eastAsia" w:ascii="楷体" w:hAnsi="楷体" w:eastAsia="楷体"/>
          <w:sz w:val="24"/>
          <w:szCs w:val="24"/>
        </w:rPr>
        <w:t>日前一工作日产品单位净值-超额业绩报酬（若有）</w:t>
      </w:r>
    </w:p>
    <w:p>
      <w:pPr>
        <w:ind w:firstLine="480" w:firstLineChars="200"/>
        <w:rPr>
          <w:rFonts w:hint="eastAsia" w:ascii="楷体" w:hAnsi="楷体" w:eastAsia="楷体"/>
          <w:sz w:val="24"/>
          <w:szCs w:val="24"/>
        </w:rPr>
      </w:pPr>
      <w:r>
        <w:rPr>
          <w:rFonts w:hint="eastAsia" w:ascii="楷体" w:hAnsi="楷体" w:eastAsia="楷体"/>
          <w:sz w:val="24"/>
          <w:szCs w:val="24"/>
        </w:rPr>
        <w:t>自动赎回金额以四舍五入的方法保留到小数点后两位</w:t>
      </w:r>
    </w:p>
    <w:p>
      <w:pPr>
        <w:numPr>
          <w:ilvl w:val="0"/>
          <w:numId w:val="3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numPr>
          <w:ilvl w:val="0"/>
          <w:numId w:val="3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w:t>
      </w:r>
    </w:p>
    <w:p>
      <w:pPr>
        <w:ind w:firstLine="424" w:firstLineChars="177"/>
        <w:rPr>
          <w:rFonts w:hint="eastAsia"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w:t>
      </w:r>
      <w:r>
        <w:rPr>
          <w:rFonts w:hint="eastAsia" w:ascii="楷体" w:hAnsi="楷体" w:eastAsia="楷体" w:cs="Calibri"/>
          <w:sz w:val="24"/>
          <w:szCs w:val="24"/>
          <w:lang w:val="en-US" w:eastAsia="zh-CN"/>
        </w:rPr>
        <w:t>2.76</w:t>
      </w:r>
      <w:r>
        <w:rPr>
          <w:rFonts w:ascii="楷体" w:hAnsi="楷体" w:eastAsia="楷体" w:cs="Calibri"/>
          <w:sz w:val="24"/>
          <w:szCs w:val="24"/>
        </w:rPr>
        <w:t>%</w:t>
      </w:r>
      <w:r>
        <w:rPr>
          <w:rFonts w:hint="eastAsia" w:ascii="楷体" w:hAnsi="楷体" w:eastAsia="楷体" w:cs="Calibri"/>
          <w:sz w:val="24"/>
          <w:szCs w:val="24"/>
        </w:rPr>
        <w:t>，</w:t>
      </w:r>
      <w:r>
        <w:rPr>
          <w:rFonts w:ascii="楷体" w:hAnsi="楷体" w:eastAsia="楷体" w:cs="Calibri"/>
          <w:sz w:val="24"/>
          <w:szCs w:val="24"/>
        </w:rPr>
        <w:t>未超过</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管理人不收取超额业绩报酬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1.</w:t>
      </w:r>
      <w:r>
        <w:rPr>
          <w:rFonts w:hint="eastAsia" w:ascii="楷体" w:hAnsi="楷体" w:eastAsia="楷体" w:cs="Calibri"/>
          <w:sz w:val="24"/>
          <w:szCs w:val="24"/>
        </w:rPr>
        <w:t>0</w:t>
      </w:r>
      <w:r>
        <w:rPr>
          <w:rFonts w:hint="eastAsia" w:ascii="楷体" w:hAnsi="楷体" w:eastAsia="楷体" w:cs="Calibri"/>
          <w:sz w:val="24"/>
          <w:szCs w:val="24"/>
          <w:lang w:val="en-US" w:eastAsia="zh-CN"/>
        </w:rPr>
        <w:t>07456</w:t>
      </w:r>
      <w:r>
        <w:rPr>
          <w:rFonts w:hint="eastAsia" w:ascii="楷体" w:hAnsi="楷体" w:eastAsia="楷体" w:cs="Calibri"/>
          <w:sz w:val="24"/>
          <w:szCs w:val="24"/>
        </w:rPr>
        <w:t>＝100</w:t>
      </w:r>
      <w:r>
        <w:rPr>
          <w:rFonts w:hint="eastAsia" w:ascii="楷体" w:hAnsi="楷体" w:eastAsia="楷体" w:cs="Calibri"/>
          <w:sz w:val="24"/>
          <w:szCs w:val="24"/>
          <w:lang w:val="en-US" w:eastAsia="zh-CN"/>
        </w:rPr>
        <w:t>74</w:t>
      </w:r>
      <w:r>
        <w:rPr>
          <w:rFonts w:hint="eastAsia" w:ascii="楷体" w:hAnsi="楷体" w:eastAsia="楷体" w:cs="Calibri"/>
          <w:sz w:val="24"/>
          <w:szCs w:val="24"/>
        </w:rPr>
        <w:t>.</w:t>
      </w:r>
      <w:r>
        <w:rPr>
          <w:rFonts w:hint="eastAsia" w:ascii="楷体" w:hAnsi="楷体" w:eastAsia="楷体" w:cs="Calibri"/>
          <w:sz w:val="24"/>
          <w:szCs w:val="24"/>
          <w:lang w:val="en-US" w:eastAsia="zh-CN"/>
        </w:rPr>
        <w:t>21</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rPr>
      </w:pPr>
      <w:r>
        <w:rPr>
          <w:rFonts w:hint="eastAsia" w:ascii="楷体" w:hAnsi="楷体" w:eastAsia="楷体" w:cs="Calibri"/>
          <w:sz w:val="24"/>
          <w:szCs w:val="24"/>
        </w:rPr>
        <w:t>客户持有期限实际年化收益率=（100</w:t>
      </w:r>
      <w:r>
        <w:rPr>
          <w:rFonts w:hint="eastAsia" w:ascii="楷体" w:hAnsi="楷体" w:eastAsia="楷体" w:cs="Calibri"/>
          <w:sz w:val="24"/>
          <w:szCs w:val="24"/>
          <w:lang w:val="en-US" w:eastAsia="zh-CN"/>
        </w:rPr>
        <w:t>74</w:t>
      </w:r>
      <w:r>
        <w:rPr>
          <w:rFonts w:hint="eastAsia" w:ascii="楷体" w:hAnsi="楷体" w:eastAsia="楷体" w:cs="Calibri"/>
          <w:sz w:val="24"/>
          <w:szCs w:val="24"/>
        </w:rPr>
        <w:t>.</w:t>
      </w:r>
      <w:r>
        <w:rPr>
          <w:rFonts w:hint="eastAsia" w:ascii="楷体" w:hAnsi="楷体" w:eastAsia="楷体" w:cs="Calibri"/>
          <w:sz w:val="24"/>
          <w:szCs w:val="24"/>
          <w:lang w:val="en-US" w:eastAsia="zh-CN"/>
        </w:rPr>
        <w:t>21</w:t>
      </w:r>
      <w:r>
        <w:rPr>
          <w:rFonts w:hint="eastAsia" w:ascii="楷体" w:hAnsi="楷体" w:eastAsia="楷体" w:cs="Calibri"/>
          <w:sz w:val="24"/>
          <w:szCs w:val="24"/>
        </w:rPr>
        <w:t>-10000）/10000*365/98=</w:t>
      </w:r>
      <w:r>
        <w:rPr>
          <w:rFonts w:hint="eastAsia" w:ascii="楷体" w:hAnsi="楷体" w:eastAsia="楷体" w:cs="Calibri"/>
          <w:sz w:val="24"/>
          <w:szCs w:val="24"/>
          <w:lang w:val="en-US" w:eastAsia="zh-CN"/>
        </w:rPr>
        <w:t>2.76</w:t>
      </w:r>
      <w:r>
        <w:rPr>
          <w:rFonts w:hint="eastAsia" w:ascii="楷体" w:hAnsi="楷体" w:eastAsia="楷体" w:cs="Calibri"/>
          <w:sz w:val="24"/>
          <w:szCs w:val="24"/>
        </w:rPr>
        <w:t>%</w:t>
      </w:r>
    </w:p>
    <w:p>
      <w:pPr>
        <w:tabs>
          <w:tab w:val="left" w:pos="728"/>
        </w:tabs>
        <w:ind w:left="420"/>
        <w:rPr>
          <w:rFonts w:ascii="楷体" w:hAnsi="楷体" w:eastAsia="楷体" w:cs="Calibri"/>
          <w:sz w:val="24"/>
          <w:szCs w:val="24"/>
        </w:rPr>
      </w:pPr>
      <w:r>
        <w:rPr>
          <w:rFonts w:hint="eastAsia" w:ascii="楷体" w:hAnsi="楷体" w:eastAsia="楷体" w:cs="Calibri"/>
          <w:sz w:val="24"/>
          <w:szCs w:val="24"/>
        </w:rPr>
        <w:t>2</w:t>
      </w:r>
      <w:r>
        <w:rPr>
          <w:rFonts w:ascii="楷体" w:hAnsi="楷体" w:eastAsia="楷体" w:cs="Calibri"/>
          <w:sz w:val="24"/>
          <w:szCs w:val="24"/>
        </w:rPr>
        <w:t>.情景二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p>
    <w:p>
      <w:pPr>
        <w:tabs>
          <w:tab w:val="left" w:pos="728"/>
        </w:tabs>
        <w:ind w:firstLine="424" w:firstLineChars="177"/>
        <w:rPr>
          <w:rFonts w:ascii="楷体" w:hAnsi="楷体" w:eastAsia="楷体" w:cs="Calibri"/>
          <w:sz w:val="24"/>
          <w:szCs w:val="24"/>
        </w:rPr>
      </w:pPr>
      <w:r>
        <w:rPr>
          <w:rFonts w:ascii="楷体" w:hAnsi="楷体" w:eastAsia="楷体" w:cs="Calibri"/>
          <w:sz w:val="24"/>
          <w:szCs w:val="24"/>
        </w:rPr>
        <w:t>产品投资周期</w:t>
      </w:r>
      <w:r>
        <w:rPr>
          <w:rFonts w:hint="eastAsia" w:ascii="楷体" w:hAnsi="楷体" w:eastAsia="楷体" w:cs="Calibri"/>
          <w:sz w:val="24"/>
          <w:szCs w:val="24"/>
        </w:rPr>
        <w:t>年化</w:t>
      </w:r>
      <w:r>
        <w:rPr>
          <w:rFonts w:ascii="楷体" w:hAnsi="楷体" w:eastAsia="楷体" w:cs="Calibri"/>
          <w:sz w:val="24"/>
          <w:szCs w:val="24"/>
        </w:rPr>
        <w:t>收益率</w:t>
      </w:r>
      <w:r>
        <w:rPr>
          <w:rFonts w:hint="eastAsia" w:ascii="楷体" w:hAnsi="楷体" w:eastAsia="楷体" w:cs="Calibri"/>
          <w:sz w:val="24"/>
          <w:szCs w:val="24"/>
        </w:rPr>
        <w:t>=（</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15/1.000035</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98*365=4.57%</w:t>
      </w:r>
      <w:r>
        <w:rPr>
          <w:rFonts w:hint="eastAsia" w:ascii="楷体" w:hAnsi="楷体" w:eastAsia="楷体" w:cs="Calibri"/>
          <w:sz w:val="24"/>
          <w:szCs w:val="24"/>
        </w:rPr>
        <w:t>，</w:t>
      </w:r>
      <w:r>
        <w:rPr>
          <w:rFonts w:ascii="楷体" w:hAnsi="楷体" w:eastAsia="楷体" w:cs="Calibri"/>
          <w:sz w:val="24"/>
          <w:szCs w:val="24"/>
        </w:rPr>
        <w:t>超过</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管理人将按超出部分</w:t>
      </w:r>
      <w:r>
        <w:rPr>
          <w:rFonts w:hint="eastAsia" w:ascii="楷体" w:hAnsi="楷体" w:eastAsia="楷体" w:cs="Calibri"/>
          <w:sz w:val="24"/>
          <w:szCs w:val="24"/>
        </w:rPr>
        <w:t>3</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收取超额业绩报酬</w:t>
      </w:r>
      <w:r>
        <w:rPr>
          <w:rFonts w:hint="eastAsia" w:ascii="楷体" w:hAnsi="楷体" w:eastAsia="楷体" w:cs="Calibri"/>
          <w:sz w:val="24"/>
          <w:szCs w:val="24"/>
        </w:rPr>
        <w:t>。</w:t>
      </w:r>
    </w:p>
    <w:p>
      <w:pPr>
        <w:tabs>
          <w:tab w:val="left" w:pos="728"/>
        </w:tabs>
        <w:ind w:firstLine="424" w:firstLineChars="177"/>
        <w:rPr>
          <w:rFonts w:hint="eastAsia" w:ascii="楷体" w:hAnsi="楷体" w:eastAsia="楷体" w:cs="Calibri"/>
          <w:sz w:val="24"/>
          <w:szCs w:val="24"/>
        </w:rPr>
      </w:pPr>
      <w:r>
        <w:rPr>
          <w:rFonts w:ascii="楷体" w:hAnsi="楷体" w:eastAsia="楷体" w:cs="Calibri"/>
          <w:sz w:val="24"/>
          <w:szCs w:val="24"/>
        </w:rPr>
        <w:t>超额业绩报酬</w:t>
      </w:r>
      <w:r>
        <w:rPr>
          <w:rFonts w:hint="eastAsia" w:ascii="楷体" w:hAnsi="楷体" w:eastAsia="楷体" w:cs="Calibri"/>
          <w:sz w:val="24"/>
          <w:szCs w:val="24"/>
        </w:rPr>
        <w:t>=（4</w:t>
      </w:r>
      <w:r>
        <w:rPr>
          <w:rFonts w:ascii="楷体" w:hAnsi="楷体" w:eastAsia="楷体" w:cs="Calibri"/>
          <w:sz w:val="24"/>
          <w:szCs w:val="24"/>
        </w:rPr>
        <w:t>.57</w:t>
      </w:r>
      <w:r>
        <w:rPr>
          <w:rFonts w:hint="eastAsia" w:ascii="楷体" w:hAnsi="楷体" w:eastAsia="楷体" w:cs="Calibri"/>
          <w:sz w:val="24"/>
          <w:szCs w:val="24"/>
        </w:rPr>
        <w:t>%-</w:t>
      </w:r>
      <w:r>
        <w:rPr>
          <w:rFonts w:hint="eastAsia" w:ascii="楷体" w:hAnsi="楷体" w:eastAsia="楷体" w:cs="Calibri"/>
          <w:sz w:val="24"/>
          <w:szCs w:val="24"/>
          <w:lang w:val="en-US" w:eastAsia="zh-CN"/>
        </w:rPr>
        <w:t>2.95</w:t>
      </w:r>
      <w:r>
        <w:rPr>
          <w:rFonts w:hint="eastAsia" w:ascii="楷体" w:hAnsi="楷体" w:eastAsia="楷体" w:cs="Calibri"/>
          <w:sz w:val="24"/>
          <w:szCs w:val="24"/>
        </w:rPr>
        <w:t>%）*</w:t>
      </w:r>
      <w:r>
        <w:rPr>
          <w:rFonts w:ascii="楷体" w:hAnsi="楷体" w:eastAsia="楷体" w:cs="Calibri"/>
          <w:sz w:val="24"/>
          <w:szCs w:val="24"/>
        </w:rPr>
        <w:t>30</w:t>
      </w:r>
      <w:r>
        <w:rPr>
          <w:rFonts w:hint="eastAsia" w:ascii="楷体" w:hAnsi="楷体" w:eastAsia="楷体" w:cs="Calibri"/>
          <w:sz w:val="24"/>
          <w:szCs w:val="24"/>
        </w:rPr>
        <w:t>%*1.000035*9999.65*</w:t>
      </w:r>
      <w:r>
        <w:rPr>
          <w:rFonts w:ascii="楷体" w:hAnsi="楷体" w:eastAsia="楷体" w:cs="Calibri"/>
          <w:sz w:val="24"/>
          <w:szCs w:val="24"/>
        </w:rPr>
        <w:t>98/365=</w:t>
      </w:r>
      <w:r>
        <w:rPr>
          <w:rFonts w:hint="eastAsia" w:ascii="楷体" w:hAnsi="楷体" w:eastAsia="楷体" w:cs="Calibri"/>
          <w:sz w:val="24"/>
          <w:szCs w:val="24"/>
          <w:lang w:val="en-US" w:eastAsia="zh-CN"/>
        </w:rPr>
        <w:t>13.05</w:t>
      </w:r>
      <w:r>
        <w:rPr>
          <w:rFonts w:hint="eastAsia" w:ascii="楷体" w:hAnsi="楷体" w:eastAsia="楷体" w:cs="Calibri"/>
          <w:sz w:val="24"/>
          <w:szCs w:val="24"/>
        </w:rPr>
        <w:t xml:space="preserve"> </w:t>
      </w:r>
      <w:r>
        <w:rPr>
          <w:rFonts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1.</w:t>
      </w:r>
      <w:r>
        <w:rPr>
          <w:rFonts w:hint="eastAsia" w:ascii="楷体" w:hAnsi="楷体" w:eastAsia="楷体" w:cs="Calibri"/>
          <w:sz w:val="24"/>
          <w:szCs w:val="24"/>
        </w:rPr>
        <w:t>01</w:t>
      </w:r>
      <w:r>
        <w:rPr>
          <w:rFonts w:ascii="楷体" w:hAnsi="楷体" w:eastAsia="楷体" w:cs="Calibri"/>
          <w:sz w:val="24"/>
          <w:szCs w:val="24"/>
        </w:rPr>
        <w:t>23</w:t>
      </w:r>
      <w:r>
        <w:rPr>
          <w:rFonts w:hint="eastAsia" w:ascii="楷体" w:hAnsi="楷体" w:eastAsia="楷体" w:cs="Calibri"/>
          <w:sz w:val="24"/>
          <w:szCs w:val="24"/>
        </w:rPr>
        <w:t>15-</w:t>
      </w:r>
      <w:r>
        <w:rPr>
          <w:rFonts w:hint="eastAsia" w:ascii="楷体" w:hAnsi="楷体" w:eastAsia="楷体" w:cs="Calibri"/>
          <w:sz w:val="24"/>
          <w:szCs w:val="24"/>
          <w:lang w:val="en-US" w:eastAsia="zh-CN"/>
        </w:rPr>
        <w:t>13.05</w:t>
      </w:r>
      <w:r>
        <w:rPr>
          <w:rFonts w:hint="eastAsia" w:ascii="楷体" w:hAnsi="楷体" w:eastAsia="楷体" w:cs="Calibri"/>
          <w:sz w:val="24"/>
          <w:szCs w:val="24"/>
        </w:rPr>
        <w:t>＝</w:t>
      </w:r>
      <w:r>
        <w:rPr>
          <w:rFonts w:hint="eastAsia" w:ascii="楷体" w:hAnsi="楷体" w:eastAsia="楷体" w:cs="Calibri"/>
          <w:sz w:val="24"/>
          <w:szCs w:val="24"/>
          <w:lang w:val="en-US" w:eastAsia="zh-CN"/>
        </w:rPr>
        <w:t>10109.75</w:t>
      </w:r>
      <w:r>
        <w:rPr>
          <w:rFonts w:hint="eastAsia" w:ascii="楷体" w:hAnsi="楷体" w:eastAsia="楷体" w:cs="Calibri"/>
          <w:sz w:val="24"/>
          <w:szCs w:val="24"/>
        </w:rPr>
        <w:t xml:space="preserve"> 元</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客户持有期限实际年化收益率=（</w:t>
      </w:r>
      <w:r>
        <w:rPr>
          <w:rFonts w:hint="eastAsia" w:ascii="楷体" w:hAnsi="楷体" w:eastAsia="楷体" w:cs="Calibri"/>
          <w:sz w:val="24"/>
          <w:szCs w:val="24"/>
          <w:lang w:val="en-US" w:eastAsia="zh-CN"/>
        </w:rPr>
        <w:t>10109.75</w:t>
      </w:r>
      <w:r>
        <w:rPr>
          <w:rFonts w:hint="eastAsia" w:ascii="楷体" w:hAnsi="楷体" w:eastAsia="楷体" w:cs="Calibri"/>
          <w:sz w:val="24"/>
          <w:szCs w:val="24"/>
        </w:rPr>
        <w:t>-10000）/10000*365/</w:t>
      </w:r>
      <w:r>
        <w:rPr>
          <w:rFonts w:ascii="楷体" w:hAnsi="楷体" w:eastAsia="楷体" w:cs="Calibri"/>
          <w:sz w:val="24"/>
          <w:szCs w:val="24"/>
        </w:rPr>
        <w:t>98</w:t>
      </w:r>
      <w:r>
        <w:rPr>
          <w:rFonts w:hint="eastAsia" w:ascii="楷体" w:hAnsi="楷体" w:eastAsia="楷体" w:cs="Calibri"/>
          <w:sz w:val="24"/>
          <w:szCs w:val="24"/>
        </w:rPr>
        <w:t>=4.</w:t>
      </w:r>
      <w:r>
        <w:rPr>
          <w:rFonts w:hint="eastAsia" w:ascii="楷体" w:hAnsi="楷体" w:eastAsia="楷体" w:cs="Calibri"/>
          <w:sz w:val="24"/>
          <w:szCs w:val="24"/>
          <w:lang w:val="en-US" w:eastAsia="zh-CN"/>
        </w:rPr>
        <w:t>09</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某投资者于 2022年 9月22日</w:t>
      </w:r>
      <w:r>
        <w:rPr>
          <w:rFonts w:hint="eastAsia" w:ascii="楷体" w:hAnsi="楷体" w:eastAsia="楷体" w:cs="Calibri"/>
          <w:sz w:val="24"/>
          <w:szCs w:val="24"/>
          <w:lang w:eastAsia="zh-CN"/>
        </w:rPr>
        <w:t>17:00</w:t>
      </w:r>
      <w:r>
        <w:rPr>
          <w:rFonts w:hint="eastAsia" w:ascii="楷体" w:hAnsi="楷体" w:eastAsia="楷体" w:cs="Calibri"/>
          <w:sz w:val="24"/>
          <w:szCs w:val="24"/>
        </w:rPr>
        <w:t>前申购10,000元本产品</w:t>
      </w:r>
      <w:r>
        <w:rPr>
          <w:rFonts w:hint="eastAsia" w:ascii="楷体" w:hAnsi="楷体" w:eastAsia="楷体" w:cs="Calibri"/>
          <w:sz w:val="24"/>
          <w:szCs w:val="24"/>
          <w:lang w:val="en-US" w:eastAsia="zh-CN"/>
        </w:rPr>
        <w:t>G份额</w:t>
      </w:r>
      <w:r>
        <w:rPr>
          <w:rFonts w:hint="eastAsia" w:ascii="楷体" w:hAnsi="楷体" w:eastAsia="楷体" w:cs="Calibri"/>
          <w:sz w:val="24"/>
          <w:szCs w:val="24"/>
        </w:rPr>
        <w:t>，当日申购并受理，受理当日产品单位净值为1.000035，客户份额于9月23日确认。</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客户确认份额=10,000/1.000035=9999.65（份）</w:t>
      </w:r>
    </w:p>
    <w:p>
      <w:pPr>
        <w:ind w:firstLine="424" w:firstLineChars="177"/>
        <w:rPr>
          <w:rFonts w:hint="eastAsia" w:ascii="楷体" w:hAnsi="楷体" w:eastAsia="楷体" w:cs="Calibri"/>
          <w:sz w:val="24"/>
          <w:szCs w:val="24"/>
        </w:rPr>
      </w:pPr>
      <w:r>
        <w:rPr>
          <w:rFonts w:hint="eastAsia" w:ascii="楷体" w:hAnsi="楷体" w:eastAsia="楷体" w:cs="Calibri"/>
          <w:sz w:val="24"/>
          <w:szCs w:val="24"/>
        </w:rPr>
        <w:t>客户份额对应的98天投资周期，自动赎回日为2022年12月30日。客户份额将在2022年12月30日自动赎回，客户赎回时根据2022年12月29日单位净值兑付，为</w:t>
      </w:r>
      <w:r>
        <w:rPr>
          <w:rFonts w:ascii="楷体" w:hAnsi="楷体" w:eastAsia="楷体" w:cs="Calibri"/>
          <w:sz w:val="24"/>
          <w:szCs w:val="24"/>
        </w:rPr>
        <w:t>0.99</w:t>
      </w:r>
      <w:r>
        <w:rPr>
          <w:rFonts w:hint="eastAsia" w:ascii="楷体" w:hAnsi="楷体" w:eastAsia="楷体" w:cs="Calibri"/>
          <w:sz w:val="24"/>
          <w:szCs w:val="24"/>
        </w:rPr>
        <w:t>1536。</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投资者应得赎回资金＝9,999.65×</w:t>
      </w:r>
      <w:r>
        <w:rPr>
          <w:rFonts w:ascii="楷体" w:hAnsi="楷体" w:eastAsia="楷体" w:cs="Calibri"/>
          <w:sz w:val="24"/>
          <w:szCs w:val="24"/>
        </w:rPr>
        <w:t>0.99</w:t>
      </w:r>
      <w:r>
        <w:rPr>
          <w:rFonts w:hint="eastAsia" w:ascii="楷体" w:hAnsi="楷体" w:eastAsia="楷体" w:cs="Calibri"/>
          <w:sz w:val="24"/>
          <w:szCs w:val="24"/>
        </w:rPr>
        <w:t>1536＝</w:t>
      </w:r>
      <w:r>
        <w:rPr>
          <w:rFonts w:ascii="楷体" w:hAnsi="楷体" w:eastAsia="楷体" w:cs="Calibri"/>
          <w:sz w:val="24"/>
          <w:szCs w:val="24"/>
        </w:rPr>
        <w:t>99</w:t>
      </w:r>
      <w:r>
        <w:rPr>
          <w:rFonts w:hint="eastAsia" w:ascii="楷体" w:hAnsi="楷体" w:eastAsia="楷体" w:cs="Calibri"/>
          <w:sz w:val="24"/>
          <w:szCs w:val="24"/>
        </w:rPr>
        <w:t>15.01元</w:t>
      </w:r>
    </w:p>
    <w:p>
      <w:pPr>
        <w:ind w:firstLine="422" w:firstLineChars="176"/>
        <w:rPr>
          <w:rFonts w:hint="eastAsia" w:ascii="楷体" w:hAnsi="楷体" w:eastAsia="楷体" w:cs="Calibri"/>
          <w:sz w:val="24"/>
          <w:szCs w:val="24"/>
        </w:rPr>
      </w:pPr>
      <w:r>
        <w:rPr>
          <w:rFonts w:hint="eastAsia" w:ascii="楷体" w:hAnsi="楷体" w:eastAsia="楷体" w:cs="Calibri"/>
          <w:sz w:val="24"/>
          <w:szCs w:val="24"/>
        </w:rPr>
        <w:t>客户实际亏损84.99元，</w:t>
      </w: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12"/>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理财产品的终止与清算</w:t>
      </w:r>
    </w:p>
    <w:p>
      <w:pPr>
        <w:numPr>
          <w:ilvl w:val="0"/>
          <w:numId w:val="3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3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3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3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36"/>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5"/>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3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产品费用</w:t>
      </w:r>
    </w:p>
    <w:p>
      <w:pPr>
        <w:numPr>
          <w:ilvl w:val="0"/>
          <w:numId w:val="39"/>
        </w:numPr>
        <w:tabs>
          <w:tab w:val="left" w:pos="993"/>
        </w:tabs>
        <w:ind w:left="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39"/>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4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0"/>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w:t>
      </w:r>
      <w:r>
        <w:rPr>
          <w:rFonts w:hint="eastAsia" w:ascii="楷体" w:hAnsi="楷体" w:eastAsia="楷体"/>
          <w:sz w:val="24"/>
          <w:szCs w:val="24"/>
          <w:highlight w:val="none"/>
        </w:rPr>
        <w:t>管理人按投资周期收取超额业绩报酬，若</w:t>
      </w:r>
      <w:r>
        <w:rPr>
          <w:rFonts w:hint="eastAsia" w:ascii="楷体" w:hAnsi="楷体" w:eastAsia="楷体"/>
          <w:sz w:val="24"/>
          <w:szCs w:val="24"/>
          <w:highlight w:val="none"/>
          <w:lang w:val="en-US" w:eastAsia="zh-CN"/>
        </w:rPr>
        <w:t>各份额</w:t>
      </w:r>
      <w:r>
        <w:rPr>
          <w:rFonts w:hint="eastAsia" w:ascii="楷体" w:hAnsi="楷体" w:eastAsia="楷体"/>
          <w:sz w:val="24"/>
          <w:szCs w:val="24"/>
          <w:highlight w:val="none"/>
        </w:rPr>
        <w:t>单一投资周期的产品实际投资收益在扣除托管费、销售服务费、投资管理费以及运作产品所必须缴纳的税费后超过</w:t>
      </w:r>
      <w:r>
        <w:rPr>
          <w:rFonts w:hint="eastAsia" w:ascii="楷体" w:hAnsi="楷体" w:eastAsia="楷体"/>
          <w:sz w:val="24"/>
          <w:szCs w:val="24"/>
          <w:highlight w:val="none"/>
          <w:lang w:val="en-US" w:eastAsia="zh-CN"/>
        </w:rPr>
        <w:t>各份额业绩比较基准上限</w:t>
      </w:r>
      <w:r>
        <w:rPr>
          <w:rFonts w:hint="eastAsia" w:ascii="楷体" w:hAnsi="楷体" w:eastAsia="楷体"/>
          <w:sz w:val="24"/>
          <w:szCs w:val="24"/>
          <w:highlight w:val="none"/>
        </w:rPr>
        <w:t>，产品管理人将按照超出部分的</w:t>
      </w:r>
      <w:r>
        <w:rPr>
          <w:rFonts w:ascii="楷体" w:hAnsi="楷体" w:eastAsia="楷体"/>
          <w:sz w:val="24"/>
          <w:szCs w:val="24"/>
          <w:highlight w:val="none"/>
        </w:rPr>
        <w:t>30</w:t>
      </w:r>
      <w:r>
        <w:rPr>
          <w:rFonts w:hint="eastAsia" w:ascii="楷体" w:hAnsi="楷体" w:eastAsia="楷体"/>
          <w:sz w:val="24"/>
          <w:szCs w:val="24"/>
          <w:highlight w:val="none"/>
        </w:rPr>
        <w:t>%收取超额业绩报酬。</w:t>
      </w:r>
    </w:p>
    <w:p>
      <w:pPr>
        <w:numPr>
          <w:ilvl w:val="0"/>
          <w:numId w:val="40"/>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产品托管</w:t>
      </w:r>
      <w:r>
        <w:rPr>
          <w:rFonts w:hint="eastAsia" w:ascii="楷体" w:hAnsi="楷体" w:eastAsia="楷体"/>
          <w:b/>
          <w:sz w:val="28"/>
          <w:szCs w:val="28"/>
          <w:lang w:val="en-US" w:eastAsia="zh-CN"/>
        </w:rPr>
        <w:t>人</w:t>
      </w:r>
    </w:p>
    <w:p>
      <w:pPr>
        <w:numPr>
          <w:ilvl w:val="0"/>
          <w:numId w:val="4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41"/>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信息披露</w:t>
      </w:r>
    </w:p>
    <w:p>
      <w:pPr>
        <w:numPr>
          <w:ilvl w:val="0"/>
          <w:numId w:val="4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4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4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4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4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4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4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4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4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43"/>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12"/>
        </w:numPr>
        <w:tabs>
          <w:tab w:val="left" w:pos="1134"/>
        </w:tabs>
        <w:ind w:firstLine="562" w:firstLineChars="200"/>
        <w:rPr>
          <w:rFonts w:ascii="楷体" w:hAnsi="楷体" w:eastAsia="楷体"/>
          <w:b/>
          <w:sz w:val="28"/>
          <w:szCs w:val="28"/>
        </w:rPr>
      </w:pPr>
      <w:r>
        <w:rPr>
          <w:rFonts w:hint="eastAsia" w:ascii="楷体" w:hAnsi="楷体" w:eastAsia="楷体"/>
          <w:b/>
          <w:sz w:val="28"/>
          <w:szCs w:val="28"/>
        </w:rPr>
        <w:t>其他</w:t>
      </w:r>
    </w:p>
    <w:p>
      <w:pPr>
        <w:numPr>
          <w:ilvl w:val="0"/>
          <w:numId w:val="4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47"/>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sz w:val="24"/>
          <w:szCs w:val="24"/>
        </w:r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p>
    <w:p>
      <w:pPr>
        <w:jc w:val="center"/>
        <w:rPr>
          <w:rFonts w:hint="eastAsia" w:ascii="楷体" w:hAnsi="楷体" w:eastAsia="楷体"/>
          <w:b/>
          <w:sz w:val="36"/>
          <w:szCs w:val="36"/>
        </w:rPr>
      </w:pPr>
      <w:r>
        <w:rPr>
          <w:rFonts w:ascii="楷体" w:hAnsi="楷体" w:eastAsia="楷体"/>
          <w:sz w:val="24"/>
          <w:szCs w:val="24"/>
        </w:rPr>
        <w:br w:type="page"/>
      </w: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8"/>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49"/>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49"/>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50"/>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50"/>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50"/>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51"/>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51"/>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51"/>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51"/>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2"/>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2"/>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3"/>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3"/>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3"/>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3"/>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3"/>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3"/>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3"/>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3"/>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3"/>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3"/>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3"/>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3"/>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3"/>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3"/>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pStyle w:val="12"/>
        <w:spacing w:before="0" w:beforeAutospacing="0" w:after="0" w:afterAutospacing="0"/>
        <w:jc w:val="center"/>
        <w:rPr>
          <w:rFonts w:hint="eastAsia" w:ascii="楷体" w:hAnsi="楷体" w:eastAsia="楷体"/>
          <w:b/>
          <w:sz w:val="28"/>
          <w:szCs w:val="28"/>
        </w:rPr>
      </w:pPr>
    </w:p>
    <w:p>
      <w:pPr>
        <w:ind w:firstLine="480" w:firstLineChars="200"/>
        <w:rPr>
          <w:rFonts w:hint="eastAsia" w:ascii="楷体" w:hAnsi="楷体" w:eastAsia="楷体"/>
          <w:sz w:val="24"/>
          <w:szCs w:val="24"/>
        </w:rPr>
      </w:pPr>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EE75D0C4"/>
    <w:multiLevelType w:val="singleLevel"/>
    <w:tmpl w:val="EE75D0C4"/>
    <w:lvl w:ilvl="0" w:tentative="0">
      <w:start w:val="1"/>
      <w:numFmt w:val="decimal"/>
      <w:suff w:val="nothing"/>
      <w:lvlText w:val="（%1）"/>
      <w:lvlJc w:val="left"/>
    </w:lvl>
  </w:abstractNum>
  <w:abstractNum w:abstractNumId="4">
    <w:nsid w:val="F7924E5E"/>
    <w:multiLevelType w:val="singleLevel"/>
    <w:tmpl w:val="F7924E5E"/>
    <w:lvl w:ilvl="0" w:tentative="0">
      <w:start w:val="1"/>
      <w:numFmt w:val="decimal"/>
      <w:lvlText w:val="%1."/>
      <w:lvlJc w:val="left"/>
      <w:pPr>
        <w:tabs>
          <w:tab w:val="left" w:pos="312"/>
        </w:tabs>
      </w:pPr>
    </w:lvl>
  </w:abstractNum>
  <w:abstractNum w:abstractNumId="5">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6">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7">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1">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8278C74"/>
    <w:multiLevelType w:val="singleLevel"/>
    <w:tmpl w:val="18278C74"/>
    <w:lvl w:ilvl="0" w:tentative="0">
      <w:start w:val="2"/>
      <w:numFmt w:val="decimal"/>
      <w:suff w:val="space"/>
      <w:lvlText w:val="%1."/>
      <w:lvlJc w:val="left"/>
    </w:lvl>
  </w:abstractNum>
  <w:abstractNum w:abstractNumId="14">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1">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D3D19BD"/>
    <w:multiLevelType w:val="singleLevel"/>
    <w:tmpl w:val="2D3D19BD"/>
    <w:lvl w:ilvl="0" w:tentative="0">
      <w:start w:val="4"/>
      <w:numFmt w:val="decimal"/>
      <w:suff w:val="space"/>
      <w:lvlText w:val="%1."/>
      <w:lvlJc w:val="left"/>
    </w:lvl>
  </w:abstractNum>
  <w:abstractNum w:abstractNumId="23">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7">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2">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3">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67AF553"/>
    <w:multiLevelType w:val="singleLevel"/>
    <w:tmpl w:val="767AF553"/>
    <w:lvl w:ilvl="0" w:tentative="0">
      <w:start w:val="8"/>
      <w:numFmt w:val="decimal"/>
      <w:suff w:val="space"/>
      <w:lvlText w:val="%1."/>
      <w:lvlJc w:val="left"/>
    </w:lvl>
  </w:abstractNum>
  <w:abstractNum w:abstractNumId="50">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1">
    <w:nsid w:val="79465E6D"/>
    <w:multiLevelType w:val="singleLevel"/>
    <w:tmpl w:val="79465E6D"/>
    <w:lvl w:ilvl="0" w:tentative="0">
      <w:start w:val="1"/>
      <w:numFmt w:val="decimal"/>
      <w:suff w:val="nothing"/>
      <w:lvlText w:val="（%1）"/>
      <w:lvlJc w:val="left"/>
    </w:lvl>
  </w:abstractNum>
  <w:abstractNum w:abstractNumId="52">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9"/>
  </w:num>
  <w:num w:numId="2">
    <w:abstractNumId w:val="16"/>
  </w:num>
  <w:num w:numId="3">
    <w:abstractNumId w:val="47"/>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num>
  <w:num w:numId="8">
    <w:abstractNumId w:val="51"/>
  </w:num>
  <w:num w:numId="9">
    <w:abstractNumId w:val="15"/>
  </w:num>
  <w:num w:numId="10">
    <w:abstractNumId w:val="32"/>
  </w:num>
  <w:num w:numId="11">
    <w:abstractNumId w:val="31"/>
  </w:num>
  <w:num w:numId="12">
    <w:abstractNumId w:val="14"/>
  </w:num>
  <w:num w:numId="13">
    <w:abstractNumId w:val="25"/>
  </w:num>
  <w:num w:numId="14">
    <w:abstractNumId w:val="18"/>
  </w:num>
  <w:num w:numId="15">
    <w:abstractNumId w:val="38"/>
  </w:num>
  <w:num w:numId="16">
    <w:abstractNumId w:val="44"/>
  </w:num>
  <w:num w:numId="17">
    <w:abstractNumId w:val="17"/>
  </w:num>
  <w:num w:numId="18">
    <w:abstractNumId w:val="30"/>
  </w:num>
  <w:num w:numId="19">
    <w:abstractNumId w:val="3"/>
  </w:num>
  <w:num w:numId="20">
    <w:abstractNumId w:val="48"/>
  </w:num>
  <w:num w:numId="21">
    <w:abstractNumId w:val="4"/>
  </w:num>
  <w:num w:numId="22">
    <w:abstractNumId w:val="34"/>
  </w:num>
  <w:num w:numId="23">
    <w:abstractNumId w:val="19"/>
  </w:num>
  <w:num w:numId="24">
    <w:abstractNumId w:val="5"/>
  </w:num>
  <w:num w:numId="25">
    <w:abstractNumId w:val="40"/>
  </w:num>
  <w:num w:numId="26">
    <w:abstractNumId w:val="28"/>
  </w:num>
  <w:num w:numId="27">
    <w:abstractNumId w:val="10"/>
  </w:num>
  <w:num w:numId="28">
    <w:abstractNumId w:val="43"/>
  </w:num>
  <w:num w:numId="29">
    <w:abstractNumId w:val="35"/>
  </w:num>
  <w:num w:numId="30">
    <w:abstractNumId w:val="11"/>
  </w:num>
  <w:num w:numId="31">
    <w:abstractNumId w:val="9"/>
  </w:num>
  <w:num w:numId="32">
    <w:abstractNumId w:val="21"/>
  </w:num>
  <w:num w:numId="33">
    <w:abstractNumId w:val="12"/>
  </w:num>
  <w:num w:numId="34">
    <w:abstractNumId w:val="23"/>
  </w:num>
  <w:num w:numId="35">
    <w:abstractNumId w:val="42"/>
  </w:num>
  <w:num w:numId="36">
    <w:abstractNumId w:val="8"/>
  </w:num>
  <w:num w:numId="37">
    <w:abstractNumId w:val="45"/>
  </w:num>
  <w:num w:numId="38">
    <w:abstractNumId w:val="37"/>
  </w:num>
  <w:num w:numId="39">
    <w:abstractNumId w:val="46"/>
  </w:num>
  <w:num w:numId="40">
    <w:abstractNumId w:val="52"/>
  </w:num>
  <w:num w:numId="41">
    <w:abstractNumId w:val="41"/>
  </w:num>
  <w:num w:numId="42">
    <w:abstractNumId w:val="24"/>
  </w:num>
  <w:num w:numId="43">
    <w:abstractNumId w:val="36"/>
  </w:num>
  <w:num w:numId="44">
    <w:abstractNumId w:val="33"/>
  </w:num>
  <w:num w:numId="45">
    <w:abstractNumId w:val="39"/>
  </w:num>
  <w:num w:numId="46">
    <w:abstractNumId w:val="7"/>
  </w:num>
  <w:num w:numId="47">
    <w:abstractNumId w:val="27"/>
  </w:num>
  <w:num w:numId="48">
    <w:abstractNumId w:val="1"/>
  </w:num>
  <w:num w:numId="49">
    <w:abstractNumId w:val="2"/>
  </w:num>
  <w:num w:numId="50">
    <w:abstractNumId w:val="22"/>
  </w:num>
  <w:num w:numId="51">
    <w:abstractNumId w:val="13"/>
  </w:num>
  <w:num w:numId="52">
    <w:abstractNumId w:val="49"/>
  </w:num>
  <w:num w:numId="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4307E78"/>
    <w:rsid w:val="055D2B3A"/>
    <w:rsid w:val="061E1970"/>
    <w:rsid w:val="094626F4"/>
    <w:rsid w:val="09621297"/>
    <w:rsid w:val="0A8B05D2"/>
    <w:rsid w:val="0B743C6A"/>
    <w:rsid w:val="0CA06217"/>
    <w:rsid w:val="0CB27657"/>
    <w:rsid w:val="0CC11592"/>
    <w:rsid w:val="0CFD44CC"/>
    <w:rsid w:val="0D727345"/>
    <w:rsid w:val="0D8F029B"/>
    <w:rsid w:val="0F2F1C3D"/>
    <w:rsid w:val="0F8E6C83"/>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4476936"/>
    <w:rsid w:val="150B07DA"/>
    <w:rsid w:val="15DA5A19"/>
    <w:rsid w:val="160875BC"/>
    <w:rsid w:val="170D0A48"/>
    <w:rsid w:val="179E4EFF"/>
    <w:rsid w:val="18D847D1"/>
    <w:rsid w:val="1B18317C"/>
    <w:rsid w:val="1BD7768D"/>
    <w:rsid w:val="1DA62D13"/>
    <w:rsid w:val="1E421775"/>
    <w:rsid w:val="1F630BBD"/>
    <w:rsid w:val="20217CFA"/>
    <w:rsid w:val="20AC3E49"/>
    <w:rsid w:val="21B423D1"/>
    <w:rsid w:val="220729C5"/>
    <w:rsid w:val="23AC1866"/>
    <w:rsid w:val="23EC7071"/>
    <w:rsid w:val="24412304"/>
    <w:rsid w:val="24E75339"/>
    <w:rsid w:val="25641323"/>
    <w:rsid w:val="26C72E54"/>
    <w:rsid w:val="26F43215"/>
    <w:rsid w:val="2773039B"/>
    <w:rsid w:val="27F40D92"/>
    <w:rsid w:val="289A6B28"/>
    <w:rsid w:val="2A58349A"/>
    <w:rsid w:val="2AAF0D62"/>
    <w:rsid w:val="2AB94ECA"/>
    <w:rsid w:val="2B202C73"/>
    <w:rsid w:val="2B4260B7"/>
    <w:rsid w:val="2B6D575D"/>
    <w:rsid w:val="2D6F33C4"/>
    <w:rsid w:val="2F503F9B"/>
    <w:rsid w:val="301E0463"/>
    <w:rsid w:val="30B61278"/>
    <w:rsid w:val="31974E38"/>
    <w:rsid w:val="31F23497"/>
    <w:rsid w:val="32135324"/>
    <w:rsid w:val="32B91CFC"/>
    <w:rsid w:val="32CA46DD"/>
    <w:rsid w:val="32CD697B"/>
    <w:rsid w:val="3319338D"/>
    <w:rsid w:val="33477538"/>
    <w:rsid w:val="33A563AE"/>
    <w:rsid w:val="34591CB0"/>
    <w:rsid w:val="346202B8"/>
    <w:rsid w:val="3487520A"/>
    <w:rsid w:val="35054DAB"/>
    <w:rsid w:val="378D747F"/>
    <w:rsid w:val="382A6007"/>
    <w:rsid w:val="389A69BE"/>
    <w:rsid w:val="3A463477"/>
    <w:rsid w:val="3A4D1D2D"/>
    <w:rsid w:val="3B2B36C1"/>
    <w:rsid w:val="3C806B04"/>
    <w:rsid w:val="3C893E03"/>
    <w:rsid w:val="3D1A55EC"/>
    <w:rsid w:val="3D94569F"/>
    <w:rsid w:val="3EBF5B14"/>
    <w:rsid w:val="3FE3608F"/>
    <w:rsid w:val="40C8087C"/>
    <w:rsid w:val="41877BC5"/>
    <w:rsid w:val="41E4286B"/>
    <w:rsid w:val="42545162"/>
    <w:rsid w:val="4260438F"/>
    <w:rsid w:val="426567D2"/>
    <w:rsid w:val="43AB20C9"/>
    <w:rsid w:val="43D45141"/>
    <w:rsid w:val="453A5F85"/>
    <w:rsid w:val="45CC5C53"/>
    <w:rsid w:val="46064560"/>
    <w:rsid w:val="465523B7"/>
    <w:rsid w:val="466325D2"/>
    <w:rsid w:val="47862950"/>
    <w:rsid w:val="47F171BF"/>
    <w:rsid w:val="48741741"/>
    <w:rsid w:val="48AE0D5D"/>
    <w:rsid w:val="48AE7C97"/>
    <w:rsid w:val="4901232A"/>
    <w:rsid w:val="497A2F9B"/>
    <w:rsid w:val="4A2F33B3"/>
    <w:rsid w:val="4AAA0106"/>
    <w:rsid w:val="4B561ABB"/>
    <w:rsid w:val="4CA37F9E"/>
    <w:rsid w:val="4D003975"/>
    <w:rsid w:val="4EAA3FBC"/>
    <w:rsid w:val="4F1563ED"/>
    <w:rsid w:val="507A5BD7"/>
    <w:rsid w:val="50E33CCC"/>
    <w:rsid w:val="511F3A66"/>
    <w:rsid w:val="517C14C7"/>
    <w:rsid w:val="51D244E8"/>
    <w:rsid w:val="51E65204"/>
    <w:rsid w:val="54095FAC"/>
    <w:rsid w:val="546423BE"/>
    <w:rsid w:val="54F15C57"/>
    <w:rsid w:val="56F7390C"/>
    <w:rsid w:val="5729597A"/>
    <w:rsid w:val="57CC3D7C"/>
    <w:rsid w:val="587E2CF1"/>
    <w:rsid w:val="59082E70"/>
    <w:rsid w:val="5A234D84"/>
    <w:rsid w:val="5A396BE5"/>
    <w:rsid w:val="5A3D29B3"/>
    <w:rsid w:val="5A940F14"/>
    <w:rsid w:val="5AB14664"/>
    <w:rsid w:val="5AB86FE7"/>
    <w:rsid w:val="5ACC69B8"/>
    <w:rsid w:val="5AF53D8F"/>
    <w:rsid w:val="5AF756C1"/>
    <w:rsid w:val="5B2E16D5"/>
    <w:rsid w:val="5B302FA2"/>
    <w:rsid w:val="5B7B1236"/>
    <w:rsid w:val="5BA11BE8"/>
    <w:rsid w:val="5BBD5EFA"/>
    <w:rsid w:val="5C847989"/>
    <w:rsid w:val="5C974816"/>
    <w:rsid w:val="5CAA3C0E"/>
    <w:rsid w:val="5CCF2BA2"/>
    <w:rsid w:val="5D774E07"/>
    <w:rsid w:val="5DC900C0"/>
    <w:rsid w:val="5E9572B0"/>
    <w:rsid w:val="5F2F6753"/>
    <w:rsid w:val="60733F65"/>
    <w:rsid w:val="60A52598"/>
    <w:rsid w:val="60B973AC"/>
    <w:rsid w:val="613931D7"/>
    <w:rsid w:val="61CA6041"/>
    <w:rsid w:val="61EE6E14"/>
    <w:rsid w:val="62030149"/>
    <w:rsid w:val="62866FC4"/>
    <w:rsid w:val="62B12D52"/>
    <w:rsid w:val="62EF15D8"/>
    <w:rsid w:val="630E6D8B"/>
    <w:rsid w:val="636C7181"/>
    <w:rsid w:val="6383600C"/>
    <w:rsid w:val="6450536C"/>
    <w:rsid w:val="649C0035"/>
    <w:rsid w:val="64CD333C"/>
    <w:rsid w:val="65834E5D"/>
    <w:rsid w:val="65BC1CA3"/>
    <w:rsid w:val="66412E1A"/>
    <w:rsid w:val="695946CE"/>
    <w:rsid w:val="69A445C0"/>
    <w:rsid w:val="69CC0897"/>
    <w:rsid w:val="6A691709"/>
    <w:rsid w:val="6B1C4FB1"/>
    <w:rsid w:val="6B1F6537"/>
    <w:rsid w:val="6B4808E8"/>
    <w:rsid w:val="6B702A2A"/>
    <w:rsid w:val="6BDE1CF4"/>
    <w:rsid w:val="6C5A3BC4"/>
    <w:rsid w:val="6C780999"/>
    <w:rsid w:val="6CC23729"/>
    <w:rsid w:val="6D3B484F"/>
    <w:rsid w:val="6DC64B38"/>
    <w:rsid w:val="6E576E1E"/>
    <w:rsid w:val="6F493CF5"/>
    <w:rsid w:val="701A473E"/>
    <w:rsid w:val="70DB7D4D"/>
    <w:rsid w:val="714B7AF8"/>
    <w:rsid w:val="715D0235"/>
    <w:rsid w:val="72C62065"/>
    <w:rsid w:val="73554814"/>
    <w:rsid w:val="73742257"/>
    <w:rsid w:val="73A90ADD"/>
    <w:rsid w:val="742079D1"/>
    <w:rsid w:val="74ED7FD8"/>
    <w:rsid w:val="753C14F7"/>
    <w:rsid w:val="754B6B88"/>
    <w:rsid w:val="757454EC"/>
    <w:rsid w:val="75DA2941"/>
    <w:rsid w:val="767A0562"/>
    <w:rsid w:val="768F2FEA"/>
    <w:rsid w:val="76B305CC"/>
    <w:rsid w:val="76E235BA"/>
    <w:rsid w:val="77F1491C"/>
    <w:rsid w:val="79191BDB"/>
    <w:rsid w:val="795D757D"/>
    <w:rsid w:val="798761B7"/>
    <w:rsid w:val="79CD77D8"/>
    <w:rsid w:val="7A5D35B5"/>
    <w:rsid w:val="7B1E53B8"/>
    <w:rsid w:val="7B85176A"/>
    <w:rsid w:val="7BD56206"/>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34666</Words>
  <Characters>35729</Characters>
  <Lines>279</Lines>
  <Paragraphs>78</Paragraphs>
  <TotalTime>4</TotalTime>
  <ScaleCrop>false</ScaleCrop>
  <LinksUpToDate>false</LinksUpToDate>
  <CharactersWithSpaces>36202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2025-09-29T07:14:52Z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41FBA4A47FC14B14918E8D87DDBF51CB</vt:lpwstr>
  </property>
</Properties>
</file>